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580" w:rsidRDefault="00B96580" w:rsidP="00B9658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w:t>
      </w:r>
      <w:r w:rsidR="00BE3B2F">
        <w:rPr>
          <w:rFonts w:ascii="Times New Roman" w:hAnsi="Times New Roman" w:cs="Times New Roman"/>
          <w:b/>
          <w:sz w:val="28"/>
          <w:szCs w:val="28"/>
        </w:rPr>
        <w:t>1.3</w:t>
      </w:r>
      <w:r>
        <w:rPr>
          <w:rFonts w:ascii="Times New Roman" w:hAnsi="Times New Roman" w:cs="Times New Roman"/>
          <w:b/>
          <w:sz w:val="28"/>
          <w:szCs w:val="28"/>
        </w:rPr>
        <w:t xml:space="preserve"> Тактическая подготовка</w:t>
      </w:r>
    </w:p>
    <w:p w:rsidR="00BE3B2F" w:rsidRDefault="00BE3B2F" w:rsidP="00B96580">
      <w:pPr>
        <w:spacing w:after="0" w:line="240" w:lineRule="auto"/>
        <w:ind w:firstLine="709"/>
        <w:jc w:val="both"/>
        <w:rPr>
          <w:rFonts w:ascii="Times New Roman" w:hAnsi="Times New Roman" w:cs="Times New Roman"/>
          <w:b/>
          <w:sz w:val="28"/>
          <w:szCs w:val="28"/>
        </w:rPr>
      </w:pPr>
    </w:p>
    <w:p w:rsidR="00B96580" w:rsidRPr="00F659FE"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color w:val="000000"/>
          <w:sz w:val="30"/>
          <w:szCs w:val="30"/>
          <w:bdr w:val="none" w:sz="0" w:space="0" w:color="auto" w:frame="1"/>
        </w:rPr>
      </w:pPr>
      <w:r w:rsidRPr="00F659FE">
        <w:rPr>
          <w:rStyle w:val="font12"/>
          <w:rFonts w:eastAsiaTheme="minorEastAsia"/>
          <w:b/>
          <w:bCs/>
          <w:color w:val="000000"/>
          <w:sz w:val="30"/>
          <w:szCs w:val="30"/>
          <w:bdr w:val="none" w:sz="0" w:space="0" w:color="auto" w:frame="1"/>
        </w:rPr>
        <w:t>Характеристика тактики.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Под</w:t>
      </w:r>
      <w:r w:rsidRPr="00BE3B2F">
        <w:rPr>
          <w:rStyle w:val="apple-converted-space"/>
          <w:b/>
          <w:bCs/>
          <w:color w:val="000000"/>
          <w:sz w:val="28"/>
          <w:szCs w:val="28"/>
          <w:bdr w:val="none" w:sz="0" w:space="0" w:color="auto" w:frame="1"/>
        </w:rPr>
        <w:t> </w:t>
      </w:r>
      <w:r w:rsidRPr="00BE3B2F">
        <w:rPr>
          <w:rStyle w:val="font12"/>
          <w:rFonts w:eastAsiaTheme="minorEastAsia"/>
          <w:bCs/>
          <w:color w:val="000000"/>
          <w:sz w:val="28"/>
          <w:szCs w:val="28"/>
          <w:bdr w:val="none" w:sz="0" w:space="0" w:color="auto" w:frame="1"/>
        </w:rPr>
        <w:t>тактикой игры в волейбол</w:t>
      </w:r>
      <w:r w:rsidRPr="00BE3B2F">
        <w:rPr>
          <w:rStyle w:val="apple-converted-space"/>
          <w:color w:val="000000"/>
          <w:sz w:val="28"/>
          <w:szCs w:val="28"/>
          <w:bdr w:val="none" w:sz="0" w:space="0" w:color="auto" w:frame="1"/>
        </w:rPr>
        <w:t> </w:t>
      </w:r>
      <w:r w:rsidRPr="00BE3B2F">
        <w:rPr>
          <w:rStyle w:val="font12"/>
          <w:rFonts w:eastAsiaTheme="minorEastAsia"/>
          <w:color w:val="000000"/>
          <w:sz w:val="28"/>
          <w:szCs w:val="28"/>
          <w:bdr w:val="none" w:sz="0" w:space="0" w:color="auto" w:frame="1"/>
        </w:rPr>
        <w:t>понимают целесообразное (адекватное игровой ситуации) использование техники игры и организацию действий игроков с целью достижения успеха в противоборстве с соперником. Четкая организация взаимодействия игроков команды обеспечивается подбором игроков (комплектованием) и их расстановкой на площадке, т. е. с учетом игровых функций, позволяющих наилучшим образом использовать их индивидуальные возможности.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 современном волейболе различают нападающих первого и второго темпа и связующих игроков — по характеру проявления индивидуальных качественных способностей (рост, быстрота, прыгучесть, тактическое мышление) и роли в организации атакующих действий.</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Нападающий первого темпа — это игрок, который обладает надежными действиями в атаке и на блоке и хорошо играет с низких передач. Нападающий второго темпа – это универсально подготовленный игрок, обладающий высокой активностью в организации атакующих и защитных действий. Разделение нападающих «по темпу» условно, в принципе нападающие должны хорошо уметь выполнять атакующие удары в тактических комбинациях в нападении на любом месте.</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Связующий игрок должен обладать высокой надежностью вторых передач мяча в различных игровых ситуациях. Учитывая, что данная игровая функция предполагает практическую реализацию тактического замысла в игре, к связующим игрокам предъявляются исключительно высокие требования как к организаторам игровых действий. Это, как правило, спокойные и рассудительные игроки, блестяще понимающие игру и мгновенно ориентирующиеся в ее сложных ситуациях.</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С целью равномерного распределения сил в команде ее комплектуют по определенному принципу. При этом учитывается не только стартовый, но и запасной составы. Наиболее оправданными признаются принципы 4+2 (четыре нападающих и два связующих) и 5+1 (пять нападающих и один связующий). Реже используется принцип 3+3 (три нападающих и три связующих), при котором игроки разных функций располагаются через зону.</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Тактика игры условно делится на два больших раздела: тактику нападения и тактику защиты. Каждый из этих разделов в зависимости от принципов организации действий игроков разделяется на группы, системы, способы и т. д.</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p>
    <w:p w:rsidR="00B96580" w:rsidRPr="00BE3B2F" w:rsidRDefault="00B96580" w:rsidP="00B96580">
      <w:pPr>
        <w:pStyle w:val="a3"/>
        <w:shd w:val="clear" w:color="auto" w:fill="FFFFFF"/>
        <w:spacing w:before="0" w:beforeAutospacing="0" w:after="0" w:afterAutospacing="0"/>
        <w:ind w:firstLine="709"/>
        <w:jc w:val="both"/>
        <w:textAlignment w:val="baseline"/>
        <w:rPr>
          <w:i/>
          <w:color w:val="000000"/>
          <w:sz w:val="28"/>
          <w:szCs w:val="28"/>
        </w:rPr>
      </w:pPr>
      <w:r w:rsidRPr="00BE3B2F">
        <w:rPr>
          <w:rStyle w:val="font12"/>
          <w:rFonts w:eastAsiaTheme="minorEastAsia"/>
          <w:b/>
          <w:bCs/>
          <w:i/>
          <w:color w:val="000000"/>
          <w:sz w:val="28"/>
          <w:szCs w:val="28"/>
          <w:bdr w:val="none" w:sz="0" w:space="0" w:color="auto" w:frame="1"/>
        </w:rPr>
        <w:t>Тактика нападения.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В содержание тактики нападения входят командные тактические действия (системы игры), групповые тактические действия (тактические комбинации), а также индивидуальные тактические действия при использовании всех технических средств ведения игры. Развертывание тактических действий во времени начинается с определения системы игры в </w:t>
      </w:r>
      <w:r w:rsidRPr="00BE3B2F">
        <w:rPr>
          <w:rStyle w:val="font12"/>
          <w:rFonts w:eastAsiaTheme="minorEastAsia"/>
          <w:color w:val="000000"/>
          <w:sz w:val="28"/>
          <w:szCs w:val="28"/>
          <w:bdr w:val="none" w:sz="0" w:space="0" w:color="auto" w:frame="1"/>
        </w:rPr>
        <w:lastRenderedPageBreak/>
        <w:t>нападении, которая реализуется через тактические комбинации и в конечной фазе переходит в индивидуальные. В такой логической последовательности и рассматривается содержание тактических действий в нападении.</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color w:val="000000"/>
          <w:sz w:val="28"/>
          <w:szCs w:val="28"/>
          <w:bdr w:val="none" w:sz="0" w:space="0" w:color="auto" w:frame="1"/>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i/>
          <w:color w:val="000000"/>
          <w:sz w:val="28"/>
          <w:szCs w:val="28"/>
          <w:bdr w:val="none" w:sz="0" w:space="0" w:color="auto" w:frame="1"/>
        </w:rPr>
      </w:pPr>
      <w:r w:rsidRPr="00BE3B2F">
        <w:rPr>
          <w:rStyle w:val="font12"/>
          <w:rFonts w:eastAsiaTheme="minorEastAsia"/>
          <w:b/>
          <w:bCs/>
          <w:i/>
          <w:color w:val="000000"/>
          <w:sz w:val="28"/>
          <w:szCs w:val="28"/>
          <w:bdr w:val="none" w:sz="0" w:space="0" w:color="auto" w:frame="1"/>
        </w:rPr>
        <w:t>Командные тактические действия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Организация командных взаимодействий в нападении осуществляется по трем направлениям: со второй передачи игрока передней линии (одной из зон атаки, преимущественно 3 и 2); со второй передачи игрока, выходящего из тыловых зон в одну из зон атаки; с первой передачи или </w:t>
      </w:r>
      <w:proofErr w:type="spellStart"/>
      <w:r w:rsidRPr="00BE3B2F">
        <w:rPr>
          <w:rStyle w:val="font12"/>
          <w:rFonts w:eastAsiaTheme="minorEastAsia"/>
          <w:color w:val="000000"/>
          <w:sz w:val="28"/>
          <w:szCs w:val="28"/>
          <w:bdr w:val="none" w:sz="0" w:space="0" w:color="auto" w:frame="1"/>
        </w:rPr>
        <w:t>откидки</w:t>
      </w:r>
      <w:proofErr w:type="spellEnd"/>
      <w:r w:rsidRPr="00BE3B2F">
        <w:rPr>
          <w:rStyle w:val="font12"/>
          <w:rFonts w:eastAsiaTheme="minorEastAsia"/>
          <w:color w:val="000000"/>
          <w:sz w:val="28"/>
          <w:szCs w:val="28"/>
          <w:bdr w:val="none" w:sz="0" w:space="0" w:color="auto" w:frame="1"/>
        </w:rPr>
        <w:t xml:space="preserve"> (передачи в прыжке). К вынужденным способам организации взаимодействий в нападении относятся случаи, когда вторую передачу для завершающих действий выполняют игроки тыловых зон в результате некачественного приема мяча.</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Нападение со второй передачи игрока передней линии — самый простой и доступный способ организации атаки. В зависимости от начальной расстановки игроков и плана ведения игры передача может выполняться с любой из зон нападения: 2, 3, 4. (Условные обозначения к схемам см. рис. 67). Существенным недостатком данной системы игры является то обстоятельство, что в завершении атакующих действий участвуют два нападающих (рис. 68).</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Нападение со второй передачи игрока, выходящего из тыловых зон к сетке, позволяет значительно расширить фронт атакующих действий, что повышает их эффективность. В зависимости от расстановки игроков и плана ведения игры выход связующего игрока может осуществляться с любой из тыловых зон площадки: 1, 5, 6 (рис. 69).</w:t>
      </w:r>
    </w:p>
    <w:p w:rsidR="00B96580" w:rsidRPr="00BE3B2F" w:rsidRDefault="00B96580" w:rsidP="00B96580">
      <w:pPr>
        <w:pStyle w:val="a3"/>
        <w:shd w:val="clear" w:color="auto" w:fill="FFFFFF"/>
        <w:spacing w:before="0" w:beforeAutospacing="0" w:after="0" w:afterAutospacing="0"/>
        <w:ind w:firstLine="709"/>
        <w:jc w:val="center"/>
        <w:textAlignment w:val="baseline"/>
        <w:rPr>
          <w:color w:val="000000"/>
        </w:rPr>
      </w:pPr>
      <w:r>
        <w:rPr>
          <w:noProof/>
          <w:color w:val="000000"/>
          <w:sz w:val="30"/>
          <w:szCs w:val="30"/>
        </w:rPr>
        <w:drawing>
          <wp:anchor distT="0" distB="0" distL="114300" distR="114300" simplePos="0" relativeHeight="251659264" behindDoc="0" locked="0" layoutInCell="1" allowOverlap="1" wp14:anchorId="436D8977" wp14:editId="5C3F623C">
            <wp:simplePos x="0" y="0"/>
            <wp:positionH relativeFrom="column">
              <wp:posOffset>757555</wp:posOffset>
            </wp:positionH>
            <wp:positionV relativeFrom="paragraph">
              <wp:posOffset>74930</wp:posOffset>
            </wp:positionV>
            <wp:extent cx="4648200" cy="1318260"/>
            <wp:effectExtent l="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48200" cy="1318260"/>
                    </a:xfrm>
                    <a:prstGeom prst="rect">
                      <a:avLst/>
                    </a:prstGeom>
                    <a:noFill/>
                    <a:ln>
                      <a:noFill/>
                    </a:ln>
                  </pic:spPr>
                </pic:pic>
              </a:graphicData>
            </a:graphic>
          </wp:anchor>
        </w:drawing>
      </w:r>
      <w:r>
        <w:rPr>
          <w:color w:val="000000"/>
          <w:sz w:val="30"/>
          <w:szCs w:val="30"/>
        </w:rPr>
        <w:br w:type="textWrapping" w:clear="all"/>
      </w:r>
      <w:r w:rsidRPr="00BE3B2F">
        <w:rPr>
          <w:color w:val="000000"/>
        </w:rPr>
        <w:t>Рисунок 67 – Условные обозначения к схемам</w:t>
      </w:r>
    </w:p>
    <w:p w:rsidR="00B96580" w:rsidRPr="00065106" w:rsidRDefault="00B96580" w:rsidP="00B96580">
      <w:pPr>
        <w:pStyle w:val="a3"/>
        <w:shd w:val="clear" w:color="auto" w:fill="FFFFFF"/>
        <w:spacing w:before="0" w:beforeAutospacing="0" w:after="0" w:afterAutospacing="0"/>
        <w:ind w:firstLine="709"/>
        <w:jc w:val="center"/>
        <w:textAlignment w:val="baseline"/>
        <w:rPr>
          <w:color w:val="000000"/>
          <w:sz w:val="20"/>
          <w:szCs w:val="20"/>
        </w:rPr>
      </w:pPr>
    </w:p>
    <w:p w:rsidR="00B96580" w:rsidRDefault="00B96580" w:rsidP="00B96580">
      <w:pPr>
        <w:pStyle w:val="a3"/>
        <w:shd w:val="clear" w:color="auto" w:fill="FFFFFF"/>
        <w:spacing w:before="0" w:beforeAutospacing="0" w:after="0" w:afterAutospacing="0"/>
        <w:ind w:firstLine="709"/>
        <w:jc w:val="center"/>
        <w:textAlignment w:val="baseline"/>
        <w:rPr>
          <w:color w:val="000000"/>
          <w:sz w:val="30"/>
          <w:szCs w:val="30"/>
        </w:rPr>
      </w:pPr>
      <w:r>
        <w:rPr>
          <w:noProof/>
          <w:color w:val="000000"/>
          <w:sz w:val="30"/>
          <w:szCs w:val="30"/>
        </w:rPr>
        <w:drawing>
          <wp:inline distT="0" distB="0" distL="0" distR="0" wp14:anchorId="06A886FF" wp14:editId="0A4F8708">
            <wp:extent cx="4604657" cy="2055086"/>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04833" cy="2055165"/>
                    </a:xfrm>
                    <a:prstGeom prst="rect">
                      <a:avLst/>
                    </a:prstGeom>
                    <a:noFill/>
                    <a:ln>
                      <a:noFill/>
                    </a:ln>
                  </pic:spPr>
                </pic:pic>
              </a:graphicData>
            </a:graphic>
          </wp:inline>
        </w:drawing>
      </w:r>
      <w:r w:rsidRPr="00930BA9">
        <w:rPr>
          <w:color w:val="000000"/>
          <w:sz w:val="30"/>
          <w:szCs w:val="30"/>
        </w:rPr>
        <w:br/>
      </w:r>
      <w:r w:rsidRPr="00BE3B2F">
        <w:rPr>
          <w:color w:val="000000"/>
        </w:rPr>
        <w:t>Рисунок 68 – Участие двух нападающих</w:t>
      </w:r>
    </w:p>
    <w:p w:rsidR="00B96580" w:rsidRPr="00065106" w:rsidRDefault="00B96580" w:rsidP="00B96580">
      <w:pPr>
        <w:pStyle w:val="a3"/>
        <w:shd w:val="clear" w:color="auto" w:fill="FFFFFF"/>
        <w:spacing w:before="0" w:beforeAutospacing="0" w:after="0" w:afterAutospacing="0"/>
        <w:ind w:firstLine="709"/>
        <w:jc w:val="center"/>
        <w:textAlignment w:val="baseline"/>
        <w:rPr>
          <w:color w:val="000000"/>
          <w:sz w:val="20"/>
          <w:szCs w:val="20"/>
        </w:rPr>
      </w:pPr>
    </w:p>
    <w:p w:rsidR="00B96580" w:rsidRDefault="00B96580" w:rsidP="00B96580">
      <w:pPr>
        <w:pStyle w:val="a3"/>
        <w:shd w:val="clear" w:color="auto" w:fill="FFFFFF"/>
        <w:spacing w:before="0" w:beforeAutospacing="0" w:after="0" w:afterAutospacing="0"/>
        <w:ind w:firstLine="709"/>
        <w:jc w:val="center"/>
        <w:textAlignment w:val="baseline"/>
        <w:rPr>
          <w:noProof/>
          <w:color w:val="000000"/>
          <w:sz w:val="30"/>
          <w:szCs w:val="30"/>
        </w:rPr>
      </w:pPr>
      <w:r>
        <w:rPr>
          <w:noProof/>
          <w:color w:val="000000"/>
          <w:sz w:val="30"/>
          <w:szCs w:val="30"/>
        </w:rPr>
        <w:lastRenderedPageBreak/>
        <w:drawing>
          <wp:inline distT="0" distB="0" distL="0" distR="0" wp14:anchorId="27FBFFB2" wp14:editId="098D1593">
            <wp:extent cx="4497583" cy="2079171"/>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2310" cy="2081356"/>
                    </a:xfrm>
                    <a:prstGeom prst="rect">
                      <a:avLst/>
                    </a:prstGeom>
                    <a:noFill/>
                    <a:ln>
                      <a:noFill/>
                    </a:ln>
                  </pic:spPr>
                </pic:pic>
              </a:graphicData>
            </a:graphic>
          </wp:inline>
        </w:drawing>
      </w:r>
    </w:p>
    <w:p w:rsidR="00B96580" w:rsidRPr="00BE3B2F" w:rsidRDefault="00B96580" w:rsidP="00B96580">
      <w:pPr>
        <w:pStyle w:val="a3"/>
        <w:shd w:val="clear" w:color="auto" w:fill="FFFFFF"/>
        <w:spacing w:before="0" w:beforeAutospacing="0" w:after="0" w:afterAutospacing="0"/>
        <w:ind w:firstLine="709"/>
        <w:jc w:val="center"/>
        <w:textAlignment w:val="baseline"/>
        <w:rPr>
          <w:noProof/>
          <w:color w:val="000000"/>
        </w:rPr>
      </w:pPr>
      <w:r w:rsidRPr="00BE3B2F">
        <w:rPr>
          <w:color w:val="000000"/>
        </w:rPr>
        <w:t xml:space="preserve">Рисунок 69 – </w:t>
      </w:r>
      <w:r w:rsidRPr="00BE3B2F">
        <w:rPr>
          <w:rStyle w:val="font12"/>
          <w:rFonts w:eastAsiaTheme="minorEastAsia"/>
          <w:color w:val="000000"/>
          <w:bdr w:val="none" w:sz="0" w:space="0" w:color="auto" w:frame="1"/>
        </w:rPr>
        <w:t>Выход связующего игрока осуществляется с любой из тыловых зон площадки</w:t>
      </w:r>
    </w:p>
    <w:p w:rsidR="00B96580" w:rsidRPr="00065106" w:rsidRDefault="00B96580" w:rsidP="00B96580">
      <w:pPr>
        <w:pStyle w:val="a3"/>
        <w:shd w:val="clear" w:color="auto" w:fill="FFFFFF"/>
        <w:spacing w:before="0" w:beforeAutospacing="0" w:after="0" w:afterAutospacing="0"/>
        <w:ind w:firstLine="709"/>
        <w:jc w:val="both"/>
        <w:textAlignment w:val="baseline"/>
        <w:rPr>
          <w:noProof/>
          <w:color w:val="000000"/>
          <w:sz w:val="20"/>
          <w:szCs w:val="20"/>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 xml:space="preserve">Нападение с первой передачи или </w:t>
      </w:r>
      <w:proofErr w:type="spellStart"/>
      <w:r w:rsidRPr="00BE3B2F">
        <w:rPr>
          <w:rStyle w:val="font12"/>
          <w:rFonts w:eastAsiaTheme="minorEastAsia"/>
          <w:color w:val="000000"/>
          <w:sz w:val="28"/>
          <w:szCs w:val="28"/>
          <w:bdr w:val="none" w:sz="0" w:space="0" w:color="auto" w:frame="1"/>
        </w:rPr>
        <w:t>откидки</w:t>
      </w:r>
      <w:proofErr w:type="spellEnd"/>
      <w:r w:rsidRPr="00BE3B2F">
        <w:rPr>
          <w:rStyle w:val="font12"/>
          <w:rFonts w:eastAsiaTheme="minorEastAsia"/>
          <w:color w:val="000000"/>
          <w:sz w:val="28"/>
          <w:szCs w:val="28"/>
          <w:bdr w:val="none" w:sz="0" w:space="0" w:color="auto" w:frame="1"/>
        </w:rPr>
        <w:t xml:space="preserve"> — самый эффективный способ организации завершающих действий (рис. 70). </w:t>
      </w:r>
    </w:p>
    <w:p w:rsidR="00B96580"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30"/>
          <w:szCs w:val="30"/>
          <w:bdr w:val="none" w:sz="0" w:space="0" w:color="auto" w:frame="1"/>
        </w:rPr>
      </w:pPr>
    </w:p>
    <w:p w:rsidR="00B96580" w:rsidRDefault="00B96580" w:rsidP="00B96580">
      <w:pPr>
        <w:pStyle w:val="a3"/>
        <w:shd w:val="clear" w:color="auto" w:fill="FFFFFF"/>
        <w:spacing w:before="0" w:beforeAutospacing="0" w:after="0" w:afterAutospacing="0"/>
        <w:ind w:firstLine="709"/>
        <w:jc w:val="center"/>
        <w:textAlignment w:val="baseline"/>
        <w:rPr>
          <w:rStyle w:val="font12"/>
          <w:rFonts w:eastAsiaTheme="minorEastAsia"/>
          <w:color w:val="000000"/>
          <w:sz w:val="30"/>
          <w:szCs w:val="30"/>
          <w:bdr w:val="none" w:sz="0" w:space="0" w:color="auto" w:frame="1"/>
        </w:rPr>
      </w:pPr>
      <w:r>
        <w:rPr>
          <w:noProof/>
          <w:color w:val="000000"/>
          <w:sz w:val="30"/>
          <w:szCs w:val="30"/>
          <w:bdr w:val="none" w:sz="0" w:space="0" w:color="auto" w:frame="1"/>
        </w:rPr>
        <w:drawing>
          <wp:inline distT="0" distB="0" distL="0" distR="0" wp14:anchorId="04816DF1" wp14:editId="7463593D">
            <wp:extent cx="1317171" cy="186449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7260" cy="1864617"/>
                    </a:xfrm>
                    <a:prstGeom prst="rect">
                      <a:avLst/>
                    </a:prstGeom>
                    <a:noFill/>
                    <a:ln>
                      <a:noFill/>
                    </a:ln>
                  </pic:spPr>
                </pic:pic>
              </a:graphicData>
            </a:graphic>
          </wp:inline>
        </w:drawing>
      </w:r>
    </w:p>
    <w:p w:rsidR="00B96580" w:rsidRPr="00BE3B2F" w:rsidRDefault="00B96580" w:rsidP="00B96580">
      <w:pPr>
        <w:pStyle w:val="a3"/>
        <w:shd w:val="clear" w:color="auto" w:fill="FFFFFF"/>
        <w:spacing w:before="0" w:beforeAutospacing="0" w:after="0" w:afterAutospacing="0"/>
        <w:ind w:firstLine="709"/>
        <w:jc w:val="center"/>
        <w:textAlignment w:val="baseline"/>
        <w:rPr>
          <w:rStyle w:val="font12"/>
          <w:rFonts w:eastAsiaTheme="minorEastAsia"/>
          <w:color w:val="000000"/>
          <w:bdr w:val="none" w:sz="0" w:space="0" w:color="auto" w:frame="1"/>
        </w:rPr>
      </w:pPr>
      <w:r w:rsidRPr="00BE3B2F">
        <w:rPr>
          <w:rStyle w:val="font12"/>
          <w:rFonts w:eastAsiaTheme="minorEastAsia"/>
          <w:color w:val="000000"/>
          <w:bdr w:val="none" w:sz="0" w:space="0" w:color="auto" w:frame="1"/>
        </w:rPr>
        <w:t>Рисунок 70 – Организация завершающих действий</w:t>
      </w:r>
    </w:p>
    <w:p w:rsidR="00B96580" w:rsidRPr="00065106" w:rsidRDefault="00B96580" w:rsidP="00B96580">
      <w:pPr>
        <w:pStyle w:val="a3"/>
        <w:shd w:val="clear" w:color="auto" w:fill="FFFFFF"/>
        <w:spacing w:before="0" w:beforeAutospacing="0" w:after="0" w:afterAutospacing="0"/>
        <w:ind w:firstLine="709"/>
        <w:jc w:val="center"/>
        <w:textAlignment w:val="baseline"/>
        <w:rPr>
          <w:rStyle w:val="font12"/>
          <w:rFonts w:eastAsiaTheme="minorEastAsia"/>
          <w:color w:val="000000"/>
          <w:sz w:val="20"/>
          <w:szCs w:val="20"/>
          <w:bdr w:val="none" w:sz="0" w:space="0" w:color="auto" w:frame="1"/>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 xml:space="preserve">Однако его применение сопряжено с большой трудностью выполнения приема-передач после сложных подач и атакующих ударов. Поэтому он применяется, как правило, в тех случаях, когда соперник завершает взаимодействия с малой вероятностью выигрыша. </w:t>
      </w:r>
      <w:proofErr w:type="spellStart"/>
      <w:r w:rsidRPr="00BE3B2F">
        <w:rPr>
          <w:rStyle w:val="font12"/>
          <w:rFonts w:eastAsiaTheme="minorEastAsia"/>
          <w:color w:val="000000"/>
          <w:sz w:val="28"/>
          <w:szCs w:val="28"/>
          <w:bdr w:val="none" w:sz="0" w:space="0" w:color="auto" w:frame="1"/>
        </w:rPr>
        <w:t>Откидка</w:t>
      </w:r>
      <w:proofErr w:type="spellEnd"/>
      <w:r w:rsidRPr="00BE3B2F">
        <w:rPr>
          <w:rStyle w:val="font12"/>
          <w:rFonts w:eastAsiaTheme="minorEastAsia"/>
          <w:color w:val="000000"/>
          <w:sz w:val="28"/>
          <w:szCs w:val="28"/>
          <w:bdr w:val="none" w:sz="0" w:space="0" w:color="auto" w:frame="1"/>
        </w:rPr>
        <w:t xml:space="preserve"> — это условное название передачи в прыжке после имитации атакующего удара.</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i/>
          <w:color w:val="000000"/>
          <w:sz w:val="28"/>
          <w:szCs w:val="28"/>
          <w:bdr w:val="none" w:sz="0" w:space="0" w:color="auto" w:frame="1"/>
        </w:rPr>
      </w:pPr>
      <w:r w:rsidRPr="00BE3B2F">
        <w:rPr>
          <w:rStyle w:val="font12"/>
          <w:rFonts w:eastAsiaTheme="minorEastAsia"/>
          <w:b/>
          <w:bCs/>
          <w:i/>
          <w:color w:val="000000"/>
          <w:sz w:val="28"/>
          <w:szCs w:val="28"/>
          <w:bdr w:val="none" w:sz="0" w:space="0" w:color="auto" w:frame="1"/>
        </w:rPr>
        <w:t>Групповые тактические действия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Под групповыми тактическими действиями понимают взаимодействия двух или нескольких игроков, решающих часть общекомандной задачи. Групповые взаимодействия осуществляются: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1. Между игроками задней и передней линии (принимающими подачу и нападающий удар со связующим) при игре связующего в передней линии.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2. То же, но при выходе связующего со второй линии (при второй передаче на удар).</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3. Принимающих подачу и нападающий удар с нападающими.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4. Нападающих с нападающими при имитации атакующего удара и </w:t>
      </w:r>
      <w:proofErr w:type="spellStart"/>
      <w:r w:rsidRPr="00BE3B2F">
        <w:rPr>
          <w:rStyle w:val="font12"/>
          <w:rFonts w:eastAsiaTheme="minorEastAsia"/>
          <w:color w:val="000000"/>
          <w:sz w:val="28"/>
          <w:szCs w:val="28"/>
          <w:bdr w:val="none" w:sz="0" w:space="0" w:color="auto" w:frame="1"/>
        </w:rPr>
        <w:t>откидке</w:t>
      </w:r>
      <w:proofErr w:type="spellEnd"/>
      <w:r w:rsidRPr="00BE3B2F">
        <w:rPr>
          <w:rStyle w:val="font12"/>
          <w:rFonts w:eastAsiaTheme="minorEastAsia"/>
          <w:color w:val="000000"/>
          <w:sz w:val="28"/>
          <w:szCs w:val="28"/>
          <w:bdr w:val="none" w:sz="0" w:space="0" w:color="auto" w:frame="1"/>
        </w:rPr>
        <w:t>.</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lastRenderedPageBreak/>
        <w:t>Все групповые взаимодействия игроков проявляются в определенных тактических комбинациях — заранее согласованных и разученных взаимодействиях. По структуре передвижения нападающих взаимодействия можно разделить на три группы: взаимодействия без изменения направления передвижений (каждый в своей зоне); с изменением направления передвижения; со окрестным передвижением. Рассмотрим наиболее типичные тактические комбинации каждой из названных групп.</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1. Принимающий подачу (нападающий удар) направляет мяч связующему в зону 3, который передает его в зону 4 или 2 (за голову). Если связующий будет находиться в зоне 2, то он может передавать мяч для завершения атаки в зоны 4 или 3 (см. рис. 68). Аналогичные варианты этих комбинаций возможны и при выходе связующего к сетке из тыловых зон. Ведущую роль здесь будет играть игрок зоны 3, который первым должен начинать разбег для атаки с низкой, короткой или передачи на взлете и создать впечатление у соперника что именно он будет выполнять атакующий удар.</w:t>
      </w:r>
    </w:p>
    <w:p w:rsidR="00B96580" w:rsidRPr="00BE3B2F" w:rsidRDefault="00B96580" w:rsidP="00B96580">
      <w:pPr>
        <w:pStyle w:val="a3"/>
        <w:shd w:val="clear" w:color="auto" w:fill="FFFFFF"/>
        <w:tabs>
          <w:tab w:val="left" w:pos="993"/>
        </w:tabs>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2. Принимающий игрок также направляет мяч к сетке связующему в зону 3 Связующий может передать мяч: а) на укороченное расстояние между зонами 4—3; б) по низкой траектории в своей зоне) по низкой траектории за голову; г) на укороченное расстояние между зонами 3—2. Во всех этих вариантах нападающие игроки будут передвигаться к сетке под определенными углами, вплоть до завершения взаимодействий в «чужой зоне». Некоторые групповые взаимодействия с изменением направления разбега нападающих получили строго определенные названия. К ним относятся «Эшелон» и «Волна».</w:t>
      </w:r>
    </w:p>
    <w:p w:rsidR="00B96580"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30"/>
          <w:szCs w:val="30"/>
          <w:bdr w:val="none" w:sz="0" w:space="0" w:color="auto" w:frame="1"/>
        </w:rPr>
      </w:pPr>
    </w:p>
    <w:p w:rsidR="00B96580" w:rsidRDefault="00B96580" w:rsidP="00BE3B2F">
      <w:pPr>
        <w:pStyle w:val="a3"/>
        <w:shd w:val="clear" w:color="auto" w:fill="FFFFFF"/>
        <w:spacing w:before="0" w:beforeAutospacing="0" w:after="0" w:afterAutospacing="0"/>
        <w:ind w:firstLine="709"/>
        <w:jc w:val="center"/>
        <w:textAlignment w:val="baseline"/>
        <w:rPr>
          <w:rStyle w:val="font12"/>
          <w:rFonts w:eastAsiaTheme="minorEastAsia"/>
          <w:color w:val="000000"/>
          <w:sz w:val="30"/>
          <w:szCs w:val="30"/>
          <w:bdr w:val="none" w:sz="0" w:space="0" w:color="auto" w:frame="1"/>
        </w:rPr>
      </w:pPr>
      <w:r>
        <w:rPr>
          <w:noProof/>
          <w:color w:val="000000"/>
          <w:sz w:val="30"/>
          <w:szCs w:val="30"/>
          <w:bdr w:val="none" w:sz="0" w:space="0" w:color="auto" w:frame="1"/>
        </w:rPr>
        <w:drawing>
          <wp:inline distT="0" distB="0" distL="0" distR="0" wp14:anchorId="22637D30" wp14:editId="5DC65002">
            <wp:extent cx="1280855" cy="1850571"/>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461" cy="1855781"/>
                    </a:xfrm>
                    <a:prstGeom prst="rect">
                      <a:avLst/>
                    </a:prstGeom>
                    <a:noFill/>
                    <a:ln>
                      <a:noFill/>
                    </a:ln>
                  </pic:spPr>
                </pic:pic>
              </a:graphicData>
            </a:graphic>
          </wp:inline>
        </w:drawing>
      </w:r>
      <w:r>
        <w:rPr>
          <w:noProof/>
          <w:color w:val="000000"/>
          <w:sz w:val="30"/>
          <w:szCs w:val="30"/>
          <w:bdr w:val="none" w:sz="0" w:space="0" w:color="auto" w:frame="1"/>
        </w:rPr>
        <w:drawing>
          <wp:inline distT="0" distB="0" distL="0" distR="0" wp14:anchorId="1BF85810" wp14:editId="2157108B">
            <wp:extent cx="1317609" cy="1839686"/>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9778" cy="1842714"/>
                    </a:xfrm>
                    <a:prstGeom prst="rect">
                      <a:avLst/>
                    </a:prstGeom>
                    <a:noFill/>
                    <a:ln>
                      <a:noFill/>
                    </a:ln>
                  </pic:spPr>
                </pic:pic>
              </a:graphicData>
            </a:graphic>
          </wp:inline>
        </w:drawing>
      </w:r>
      <w:r>
        <w:rPr>
          <w:noProof/>
          <w:color w:val="000000"/>
          <w:sz w:val="30"/>
          <w:szCs w:val="30"/>
          <w:bdr w:val="none" w:sz="0" w:space="0" w:color="auto" w:frame="1"/>
        </w:rPr>
        <w:drawing>
          <wp:inline distT="0" distB="0" distL="0" distR="0" wp14:anchorId="242256DA" wp14:editId="546A9F11">
            <wp:extent cx="1304318" cy="1839686"/>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3920" cy="1853230"/>
                    </a:xfrm>
                    <a:prstGeom prst="rect">
                      <a:avLst/>
                    </a:prstGeom>
                    <a:noFill/>
                    <a:ln>
                      <a:noFill/>
                    </a:ln>
                  </pic:spPr>
                </pic:pic>
              </a:graphicData>
            </a:graphic>
          </wp:inline>
        </w:drawing>
      </w:r>
    </w:p>
    <w:p w:rsidR="00B96580" w:rsidRPr="00BE3B2F" w:rsidRDefault="00B96580" w:rsidP="00BE3B2F">
      <w:pPr>
        <w:pStyle w:val="a3"/>
        <w:shd w:val="clear" w:color="auto" w:fill="FFFFFF"/>
        <w:tabs>
          <w:tab w:val="left" w:pos="3720"/>
          <w:tab w:val="left" w:pos="6497"/>
        </w:tabs>
        <w:spacing w:before="0" w:beforeAutospacing="0" w:after="0" w:afterAutospacing="0"/>
        <w:ind w:firstLine="709"/>
        <w:jc w:val="center"/>
        <w:textAlignment w:val="baseline"/>
        <w:rPr>
          <w:rStyle w:val="font12"/>
          <w:rFonts w:eastAsiaTheme="minorEastAsia"/>
          <w:color w:val="000000"/>
          <w:bdr w:val="none" w:sz="0" w:space="0" w:color="auto" w:frame="1"/>
        </w:rPr>
      </w:pPr>
      <w:r w:rsidRPr="00BE3B2F">
        <w:rPr>
          <w:rStyle w:val="font12"/>
          <w:rFonts w:eastAsiaTheme="minorEastAsia"/>
          <w:color w:val="000000"/>
          <w:bdr w:val="none" w:sz="0" w:space="0" w:color="auto" w:frame="1"/>
        </w:rPr>
        <w:t xml:space="preserve">Рисунок 71 </w:t>
      </w:r>
      <w:r w:rsidRPr="00BE3B2F">
        <w:rPr>
          <w:rStyle w:val="font12"/>
          <w:rFonts w:eastAsiaTheme="minorEastAsia"/>
          <w:color w:val="000000"/>
          <w:bdr w:val="none" w:sz="0" w:space="0" w:color="auto" w:frame="1"/>
        </w:rPr>
        <w:tab/>
        <w:t xml:space="preserve">Рисунок 72 </w:t>
      </w:r>
      <w:r w:rsidRPr="00BE3B2F">
        <w:rPr>
          <w:rStyle w:val="font12"/>
          <w:rFonts w:eastAsiaTheme="minorEastAsia"/>
          <w:color w:val="000000"/>
          <w:bdr w:val="none" w:sz="0" w:space="0" w:color="auto" w:frame="1"/>
        </w:rPr>
        <w:tab/>
        <w:t>Рисунок 73</w:t>
      </w:r>
    </w:p>
    <w:p w:rsidR="00B96580" w:rsidRPr="00BE3B2F" w:rsidRDefault="00B96580" w:rsidP="00BE3B2F">
      <w:pPr>
        <w:pStyle w:val="a3"/>
        <w:shd w:val="clear" w:color="auto" w:fill="FFFFFF"/>
        <w:spacing w:before="0" w:beforeAutospacing="0" w:after="0" w:afterAutospacing="0"/>
        <w:ind w:firstLine="709"/>
        <w:jc w:val="center"/>
        <w:textAlignment w:val="baseline"/>
        <w:rPr>
          <w:color w:val="000000"/>
        </w:rPr>
      </w:pP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 комбинации «Волна» участвуют три игрока — связующий и нападающие зон 3 и 4 (рис. 71). Игрок зоны 3 начинает комбинацию стремительным разбегом для атаки с низкой передачи (короткой, на взлете), что зависит от нападающего. Передача следует игроку зоны 4, но не в зону, а между зонами 4 и 3. Имитация удара игроком зоны 3 отвлекает блокирующих игроков соперника, что позволяет игроку зоны 4 завершать атаку без противодействия блокирующих. По договоренности между игроками длина передач может варьироваться, что в значительной степени затрудняет действия защиты.</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Если прием мяча осуществляется ближе к зоне 4, возникает благоприятная ситуация для комбинации «Эшелон» (рис. 72). В этом случае действия игрока зоны 3 те же, а игрок зоны 4 изменяет направление разбега таким образом, чтобы выпрыгнуть для удара за спиной игрока зоны 3, но на темп позже. Передача для удара при этом несколько удаляется от сетки. Это же можно выполнить в зонах 3 и 2, если подача направлена ближе к зоне 2.</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3. Более высокий уровень мастерства предъявляют тактические комбинации со окрестным передвижением нападающих. Наиболее типичными из них являются: «Крест» (основной крест), «Передний крест», «Задний крест» (обратный крест). В комбинации «Крест» участвуют два игрока нападения — зон 3 и 4. Игрок зоны 4 начинает комбинацию энергичным разбегом к связующему для атаки или ее имитации с низкой (короткой, на взлете) передачи (рис. 73). Нападающий зоны 3, передвигаясь </w:t>
      </w:r>
      <w:proofErr w:type="spellStart"/>
      <w:r w:rsidRPr="00BE3B2F">
        <w:rPr>
          <w:rStyle w:val="font12"/>
          <w:rFonts w:eastAsiaTheme="minorEastAsia"/>
          <w:color w:val="000000"/>
          <w:sz w:val="28"/>
          <w:szCs w:val="28"/>
          <w:bdr w:val="none" w:sz="0" w:space="0" w:color="auto" w:frame="1"/>
        </w:rPr>
        <w:t>скрестно</w:t>
      </w:r>
      <w:proofErr w:type="spellEnd"/>
      <w:r w:rsidRPr="00BE3B2F">
        <w:rPr>
          <w:rStyle w:val="font12"/>
          <w:rFonts w:eastAsiaTheme="minorEastAsia"/>
          <w:color w:val="000000"/>
          <w:sz w:val="28"/>
          <w:szCs w:val="28"/>
          <w:bdr w:val="none" w:sz="0" w:space="0" w:color="auto" w:frame="1"/>
        </w:rPr>
        <w:t xml:space="preserve"> темпом позже за спиной партнера, завершает взаимодействие атакующим ударом. Траектория передач согласовывается предварительно, но, как правило, она должна быть не выше средней, в противном случае комбинация потеряет смысл.</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В комбинации «Передний крест» атакующие действия начинает игрок зоны 3 (рис. 74, а), а его партнер, игрок зоны 2, передвигается </w:t>
      </w:r>
      <w:proofErr w:type="spellStart"/>
      <w:r w:rsidRPr="00BE3B2F">
        <w:rPr>
          <w:rStyle w:val="font12"/>
          <w:rFonts w:eastAsiaTheme="minorEastAsia"/>
          <w:color w:val="000000"/>
          <w:sz w:val="28"/>
          <w:szCs w:val="28"/>
          <w:bdr w:val="none" w:sz="0" w:space="0" w:color="auto" w:frame="1"/>
        </w:rPr>
        <w:t>скрестно</w:t>
      </w:r>
      <w:proofErr w:type="spellEnd"/>
      <w:r w:rsidRPr="00BE3B2F">
        <w:rPr>
          <w:rStyle w:val="font12"/>
          <w:rFonts w:eastAsiaTheme="minorEastAsia"/>
          <w:color w:val="000000"/>
          <w:sz w:val="28"/>
          <w:szCs w:val="28"/>
          <w:bdr w:val="none" w:sz="0" w:space="0" w:color="auto" w:frame="1"/>
        </w:rPr>
        <w:t xml:space="preserve"> за спиной и выпрыгивает для удара темпом позже.</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Суть комбинации «Задний крест» заключается в том, что первым начинает разбег игрок зоны 2 (рис. 74, б), а игрок зоны 3 передвигается у него за спиной для атаки в зоне 2. Данный вариант комбинации наиболее сложный, что требует соответствующей подготовки.</w:t>
      </w:r>
    </w:p>
    <w:p w:rsidR="00B96580"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30"/>
          <w:szCs w:val="30"/>
          <w:bdr w:val="none" w:sz="0" w:space="0" w:color="auto" w:frame="1"/>
        </w:rPr>
      </w:pPr>
    </w:p>
    <w:p w:rsidR="00B96580" w:rsidRDefault="00B96580" w:rsidP="00B96580">
      <w:pPr>
        <w:pStyle w:val="a3"/>
        <w:shd w:val="clear" w:color="auto" w:fill="FFFFFF"/>
        <w:spacing w:before="0" w:beforeAutospacing="0" w:after="0" w:afterAutospacing="0"/>
        <w:ind w:firstLine="709"/>
        <w:jc w:val="center"/>
        <w:textAlignment w:val="baseline"/>
        <w:rPr>
          <w:color w:val="000000"/>
          <w:sz w:val="30"/>
          <w:szCs w:val="30"/>
        </w:rPr>
      </w:pPr>
      <w:r w:rsidRPr="00930BA9">
        <w:rPr>
          <w:noProof/>
          <w:color w:val="000000"/>
          <w:sz w:val="30"/>
          <w:szCs w:val="30"/>
          <w:bdr w:val="none" w:sz="0" w:space="0" w:color="auto" w:frame="1"/>
        </w:rPr>
        <w:drawing>
          <wp:inline distT="0" distB="0" distL="0" distR="0" wp14:anchorId="19654005" wp14:editId="5C55C86C">
            <wp:extent cx="3515995" cy="1534795"/>
            <wp:effectExtent l="0" t="0" r="0" b="0"/>
            <wp:docPr id="12" name="Рисунок 12" descr="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1(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5995" cy="1534795"/>
                    </a:xfrm>
                    <a:prstGeom prst="rect">
                      <a:avLst/>
                    </a:prstGeom>
                    <a:noFill/>
                    <a:ln>
                      <a:noFill/>
                    </a:ln>
                  </pic:spPr>
                </pic:pic>
              </a:graphicData>
            </a:graphic>
          </wp:inline>
        </w:drawing>
      </w:r>
    </w:p>
    <w:p w:rsidR="00B96580" w:rsidRPr="00BE3B2F" w:rsidRDefault="00B96580" w:rsidP="00B96580">
      <w:pPr>
        <w:pStyle w:val="a3"/>
        <w:shd w:val="clear" w:color="auto" w:fill="FFFFFF"/>
        <w:tabs>
          <w:tab w:val="left" w:pos="2914"/>
          <w:tab w:val="center" w:pos="4889"/>
          <w:tab w:val="left" w:pos="6926"/>
        </w:tabs>
        <w:spacing w:before="0" w:beforeAutospacing="0" w:after="0" w:afterAutospacing="0"/>
        <w:ind w:firstLine="709"/>
        <w:textAlignment w:val="baseline"/>
        <w:rPr>
          <w:color w:val="000000"/>
        </w:rPr>
      </w:pPr>
      <w:r>
        <w:rPr>
          <w:color w:val="000000"/>
          <w:sz w:val="30"/>
          <w:szCs w:val="30"/>
        </w:rPr>
        <w:tab/>
      </w:r>
      <w:r w:rsidRPr="00BE3B2F">
        <w:rPr>
          <w:color w:val="000000"/>
        </w:rPr>
        <w:t>а)</w:t>
      </w:r>
      <w:r w:rsidRPr="00BE3B2F">
        <w:rPr>
          <w:color w:val="000000"/>
        </w:rPr>
        <w:tab/>
        <w:t>б)</w:t>
      </w:r>
      <w:r w:rsidRPr="00BE3B2F">
        <w:rPr>
          <w:color w:val="000000"/>
        </w:rPr>
        <w:tab/>
        <w:t>в)</w:t>
      </w:r>
    </w:p>
    <w:p w:rsidR="00B96580" w:rsidRPr="00AB4DE7" w:rsidRDefault="00B96580" w:rsidP="00B96580">
      <w:pPr>
        <w:pStyle w:val="a3"/>
        <w:shd w:val="clear" w:color="auto" w:fill="FFFFFF"/>
        <w:tabs>
          <w:tab w:val="left" w:pos="2914"/>
          <w:tab w:val="center" w:pos="4889"/>
          <w:tab w:val="left" w:pos="6926"/>
        </w:tabs>
        <w:spacing w:before="0" w:beforeAutospacing="0" w:after="0" w:afterAutospacing="0"/>
        <w:ind w:firstLine="709"/>
        <w:textAlignment w:val="baseline"/>
        <w:rPr>
          <w:color w:val="000000"/>
          <w:sz w:val="20"/>
          <w:szCs w:val="20"/>
        </w:rPr>
      </w:pPr>
    </w:p>
    <w:p w:rsidR="00B96580" w:rsidRPr="00BE3B2F" w:rsidRDefault="00B96580" w:rsidP="00B96580">
      <w:pPr>
        <w:pStyle w:val="a3"/>
        <w:shd w:val="clear" w:color="auto" w:fill="FFFFFF"/>
        <w:spacing w:before="0" w:beforeAutospacing="0" w:after="0" w:afterAutospacing="0"/>
        <w:ind w:firstLine="709"/>
        <w:jc w:val="center"/>
        <w:textAlignment w:val="baseline"/>
        <w:rPr>
          <w:color w:val="000000"/>
        </w:rPr>
      </w:pPr>
      <w:r w:rsidRPr="00BE3B2F">
        <w:rPr>
          <w:color w:val="000000"/>
        </w:rPr>
        <w:t xml:space="preserve">Рисунок 74 </w:t>
      </w:r>
    </w:p>
    <w:p w:rsidR="00B96580" w:rsidRPr="00065106" w:rsidRDefault="00B96580" w:rsidP="00B96580">
      <w:pPr>
        <w:pStyle w:val="a3"/>
        <w:shd w:val="clear" w:color="auto" w:fill="FFFFFF"/>
        <w:spacing w:before="0" w:beforeAutospacing="0" w:after="0" w:afterAutospacing="0"/>
        <w:ind w:firstLine="709"/>
        <w:jc w:val="center"/>
        <w:textAlignment w:val="baseline"/>
        <w:rPr>
          <w:color w:val="000000"/>
          <w:sz w:val="20"/>
          <w:szCs w:val="20"/>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К наиболее эффективным групповым действиям нападения, как</w:t>
      </w:r>
      <w:r w:rsidRPr="00BE3B2F">
        <w:rPr>
          <w:rStyle w:val="apple-converted-space"/>
          <w:color w:val="000000"/>
          <w:sz w:val="28"/>
          <w:szCs w:val="28"/>
          <w:bdr w:val="none" w:sz="0" w:space="0" w:color="auto" w:frame="1"/>
        </w:rPr>
        <w:t> </w:t>
      </w:r>
      <w:r w:rsidRPr="00BE3B2F">
        <w:rPr>
          <w:rStyle w:val="font12"/>
          <w:rFonts w:eastAsiaTheme="minorEastAsia"/>
          <w:color w:val="000000"/>
          <w:sz w:val="28"/>
          <w:szCs w:val="28"/>
          <w:bdr w:val="none" w:sz="0" w:space="0" w:color="auto" w:frame="1"/>
        </w:rPr>
        <w:t xml:space="preserve">уже отмечалось, относятся взаимодействия, в результате которых мяч приемом подач или нападающих ударов сразу адресуется для атаки в одну из зон передней линии. Как уже отмечалось, это возможно практически лишь в тех случаях, если соперник не смог завершить свои взаимодействия атакой и вынужден без явной угрозы отбить мяч через сетку. При этом, в зависимости от действии соперника, возможны два варианта атаки: непосредственно с приема-передачи (рис. 75, а) или с </w:t>
      </w:r>
      <w:proofErr w:type="spellStart"/>
      <w:r w:rsidRPr="00BE3B2F">
        <w:rPr>
          <w:rStyle w:val="font12"/>
          <w:rFonts w:eastAsiaTheme="minorEastAsia"/>
          <w:color w:val="000000"/>
          <w:sz w:val="28"/>
          <w:szCs w:val="28"/>
          <w:bdr w:val="none" w:sz="0" w:space="0" w:color="auto" w:frame="1"/>
        </w:rPr>
        <w:t>откидки</w:t>
      </w:r>
      <w:proofErr w:type="spellEnd"/>
      <w:r w:rsidRPr="00BE3B2F">
        <w:rPr>
          <w:rStyle w:val="font12"/>
          <w:rFonts w:eastAsiaTheme="minorEastAsia"/>
          <w:color w:val="000000"/>
          <w:sz w:val="28"/>
          <w:szCs w:val="28"/>
          <w:bdr w:val="none" w:sz="0" w:space="0" w:color="auto" w:frame="1"/>
        </w:rPr>
        <w:t xml:space="preserve"> (рис. 75, б).</w:t>
      </w:r>
    </w:p>
    <w:p w:rsidR="00B96580" w:rsidRPr="00930BA9" w:rsidRDefault="00B96580" w:rsidP="00B96580">
      <w:pPr>
        <w:pStyle w:val="a3"/>
        <w:shd w:val="clear" w:color="auto" w:fill="FFFFFF"/>
        <w:spacing w:before="0" w:beforeAutospacing="0" w:after="0" w:afterAutospacing="0"/>
        <w:ind w:firstLine="709"/>
        <w:jc w:val="both"/>
        <w:textAlignment w:val="baseline"/>
        <w:rPr>
          <w:color w:val="000000"/>
          <w:sz w:val="30"/>
          <w:szCs w:val="30"/>
        </w:rPr>
      </w:pPr>
    </w:p>
    <w:p w:rsidR="00B96580" w:rsidRDefault="00B96580" w:rsidP="00B96580">
      <w:pPr>
        <w:pStyle w:val="a3"/>
        <w:shd w:val="clear" w:color="auto" w:fill="FFFFFF"/>
        <w:spacing w:before="0" w:beforeAutospacing="0" w:after="0" w:afterAutospacing="0"/>
        <w:ind w:firstLine="709"/>
        <w:jc w:val="center"/>
        <w:textAlignment w:val="baseline"/>
        <w:rPr>
          <w:color w:val="000000"/>
          <w:sz w:val="30"/>
          <w:szCs w:val="30"/>
        </w:rPr>
      </w:pPr>
      <w:r w:rsidRPr="00930BA9">
        <w:rPr>
          <w:noProof/>
          <w:color w:val="000000"/>
          <w:sz w:val="30"/>
          <w:szCs w:val="30"/>
          <w:bdr w:val="none" w:sz="0" w:space="0" w:color="auto" w:frame="1"/>
        </w:rPr>
        <w:drawing>
          <wp:inline distT="0" distB="0" distL="0" distR="0" wp14:anchorId="61F6B172" wp14:editId="500256ED">
            <wp:extent cx="3592195" cy="1480185"/>
            <wp:effectExtent l="0" t="0" r="0" b="0"/>
            <wp:docPr id="11" name="Рисунок 11"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2195" cy="1480185"/>
                    </a:xfrm>
                    <a:prstGeom prst="rect">
                      <a:avLst/>
                    </a:prstGeom>
                    <a:noFill/>
                    <a:ln>
                      <a:noFill/>
                    </a:ln>
                  </pic:spPr>
                </pic:pic>
              </a:graphicData>
            </a:graphic>
          </wp:inline>
        </w:drawing>
      </w:r>
    </w:p>
    <w:p w:rsidR="00B96580" w:rsidRPr="00BE3B2F" w:rsidRDefault="00B96580" w:rsidP="00B96580">
      <w:pPr>
        <w:pStyle w:val="a3"/>
        <w:shd w:val="clear" w:color="auto" w:fill="FFFFFF"/>
        <w:tabs>
          <w:tab w:val="left" w:pos="2691"/>
          <w:tab w:val="center" w:pos="4889"/>
          <w:tab w:val="left" w:pos="6600"/>
        </w:tabs>
        <w:spacing w:before="0" w:beforeAutospacing="0" w:after="0" w:afterAutospacing="0"/>
        <w:ind w:firstLine="709"/>
        <w:textAlignment w:val="baseline"/>
        <w:rPr>
          <w:color w:val="000000"/>
        </w:rPr>
      </w:pPr>
      <w:r>
        <w:rPr>
          <w:color w:val="000000"/>
          <w:sz w:val="30"/>
          <w:szCs w:val="30"/>
        </w:rPr>
        <w:tab/>
      </w:r>
      <w:r w:rsidRPr="00BE3B2F">
        <w:rPr>
          <w:color w:val="000000"/>
        </w:rPr>
        <w:t xml:space="preserve"> а)</w:t>
      </w:r>
      <w:r w:rsidRPr="00BE3B2F">
        <w:rPr>
          <w:color w:val="000000"/>
        </w:rPr>
        <w:tab/>
        <w:t>б)</w:t>
      </w:r>
      <w:r w:rsidRPr="00BE3B2F">
        <w:rPr>
          <w:color w:val="000000"/>
        </w:rPr>
        <w:tab/>
        <w:t>в)</w:t>
      </w:r>
    </w:p>
    <w:p w:rsidR="00B96580" w:rsidRPr="00BE3B2F" w:rsidRDefault="00B96580" w:rsidP="00B96580">
      <w:pPr>
        <w:pStyle w:val="a3"/>
        <w:shd w:val="clear" w:color="auto" w:fill="FFFFFF"/>
        <w:tabs>
          <w:tab w:val="left" w:pos="2691"/>
          <w:tab w:val="center" w:pos="4889"/>
          <w:tab w:val="left" w:pos="6600"/>
        </w:tabs>
        <w:spacing w:before="0" w:beforeAutospacing="0" w:after="0" w:afterAutospacing="0"/>
        <w:ind w:firstLine="709"/>
        <w:textAlignment w:val="baseline"/>
        <w:rPr>
          <w:color w:val="000000"/>
        </w:rPr>
      </w:pPr>
    </w:p>
    <w:p w:rsidR="00B96580" w:rsidRPr="00BE3B2F" w:rsidRDefault="00B96580" w:rsidP="00B96580">
      <w:pPr>
        <w:pStyle w:val="a3"/>
        <w:shd w:val="clear" w:color="auto" w:fill="FFFFFF"/>
        <w:spacing w:before="0" w:beforeAutospacing="0" w:after="0" w:afterAutospacing="0"/>
        <w:ind w:firstLine="709"/>
        <w:jc w:val="center"/>
        <w:textAlignment w:val="baseline"/>
        <w:rPr>
          <w:rStyle w:val="font6"/>
          <w:color w:val="000000"/>
          <w:bdr w:val="none" w:sz="0" w:space="0" w:color="auto" w:frame="1"/>
        </w:rPr>
      </w:pPr>
      <w:r w:rsidRPr="00BE3B2F">
        <w:rPr>
          <w:rStyle w:val="font6"/>
          <w:color w:val="000000"/>
          <w:bdr w:val="none" w:sz="0" w:space="0" w:color="auto" w:frame="1"/>
        </w:rPr>
        <w:t xml:space="preserve">Рисунок 75 </w:t>
      </w:r>
    </w:p>
    <w:p w:rsidR="00B96580" w:rsidRPr="00065106" w:rsidRDefault="00B96580" w:rsidP="00B96580">
      <w:pPr>
        <w:pStyle w:val="a3"/>
        <w:shd w:val="clear" w:color="auto" w:fill="FFFFFF"/>
        <w:spacing w:before="0" w:beforeAutospacing="0" w:after="0" w:afterAutospacing="0"/>
        <w:ind w:firstLine="709"/>
        <w:jc w:val="center"/>
        <w:textAlignment w:val="baseline"/>
        <w:rPr>
          <w:color w:val="000000"/>
          <w:sz w:val="20"/>
          <w:szCs w:val="20"/>
        </w:rPr>
      </w:pP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К сожалению, в практике работы с юными волейболистами еще бытует мнение, что применение тактических комбинации является признаком «высокого» уровня подготовки команды и гарантией ее успехов. В результате зачастую комбинация применяется ради комбинации (заучивается механически). Во избежание механического заучивания для реализации тактических комбинаций следует придерживаться двух положений:</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1. Основанием тактической комбинации должна служить конкретная игровая ситуация.</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2. Комбинация должна соответствовать уровню технико-тактической подготовленности команды.</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i/>
          <w:color w:val="000000"/>
          <w:sz w:val="28"/>
          <w:szCs w:val="28"/>
          <w:bdr w:val="none" w:sz="0" w:space="0" w:color="auto" w:frame="1"/>
        </w:rPr>
      </w:pPr>
      <w:r w:rsidRPr="00BE3B2F">
        <w:rPr>
          <w:rStyle w:val="font12"/>
          <w:rFonts w:eastAsiaTheme="minorEastAsia"/>
          <w:b/>
          <w:bCs/>
          <w:i/>
          <w:color w:val="000000"/>
          <w:sz w:val="28"/>
          <w:szCs w:val="28"/>
          <w:bdr w:val="none" w:sz="0" w:space="0" w:color="auto" w:frame="1"/>
        </w:rPr>
        <w:t>Индивидуальные тактические действия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Индивидуальные действия игроков представляют собой частное выражение командных и групповых взаимодействий. Они разделяются на действия без мяча и с мячом.</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Для действий без мяча наиболее характерными являются выбор места и корректировка действий партнеров по команде при подготовке к выполнению передач, подач и атакующих ударов.</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Действия с мячом характеризуются выбором способа выполнения приема и эффективным его применением.</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выполнении передач мяча для атакующих ударов наиболее типичными действиями игроков являются: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1) передача нападающему, находящемуся впереди связующего;</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2) передача нападающему, находящемуся сзади связующего;</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3) равномерное распределение передач мяча нападающим;</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4) передача нападающему против слабого блокирующего игрока соперника;</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5) изменение траектории передач в зависимости от качества приема мяча и тактического плана игры;</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6) изменение направления передач: на сторону соперника после имитации передачи вперед; за голову после имитации передачи вперед; вперед после имитации передачи за голову.</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выполнении подач основными тактическими действиями являются: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lastRenderedPageBreak/>
        <w:t>1) чередование подач на силу;</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2) подача на игрока команды-соперника, слабо владеющего навыками приема;</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3) подача на основного нападающего;</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4) подача на игрока, вступившего в игру после замены;</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5) подача на связующего, выходящего с задней линии;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6) подача между игроками;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7) подача в трудные для приема места площадки. При выполнении нападающих и атакующих ударов основными тактическими действиями будут:</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1) выбор способа отбивания мяча через сетку;</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2) имитация атакующего удара и передача («обман») на сторону соперника двумя руками (или одной рукой);</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3) чередование способов атакующих ударов в зависимости от складывающейся ситуации;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4) атакующие удары поверх блока, от рук блокирующих в аут, между рук блокирующих;</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5) имитация атакующего удара и передача в прыжке (</w:t>
      </w:r>
      <w:proofErr w:type="spellStart"/>
      <w:r w:rsidRPr="00BE3B2F">
        <w:rPr>
          <w:rStyle w:val="font12"/>
          <w:rFonts w:eastAsiaTheme="minorEastAsia"/>
          <w:color w:val="000000"/>
          <w:sz w:val="28"/>
          <w:szCs w:val="28"/>
          <w:bdr w:val="none" w:sz="0" w:space="0" w:color="auto" w:frame="1"/>
        </w:rPr>
        <w:t>откидка</w:t>
      </w:r>
      <w:proofErr w:type="spellEnd"/>
      <w:r w:rsidRPr="00BE3B2F">
        <w:rPr>
          <w:rStyle w:val="font12"/>
          <w:rFonts w:eastAsiaTheme="minorEastAsia"/>
          <w:color w:val="000000"/>
          <w:sz w:val="28"/>
          <w:szCs w:val="28"/>
          <w:bdr w:val="none" w:sz="0" w:space="0" w:color="auto" w:frame="1"/>
        </w:rPr>
        <w:t>);</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6) имитация передачи в прыжке (</w:t>
      </w:r>
      <w:proofErr w:type="spellStart"/>
      <w:r w:rsidRPr="00BE3B2F">
        <w:rPr>
          <w:rStyle w:val="font12"/>
          <w:rFonts w:eastAsiaTheme="minorEastAsia"/>
          <w:color w:val="000000"/>
          <w:sz w:val="28"/>
          <w:szCs w:val="28"/>
          <w:bdr w:val="none" w:sz="0" w:space="0" w:color="auto" w:frame="1"/>
        </w:rPr>
        <w:t>откидки</w:t>
      </w:r>
      <w:proofErr w:type="spellEnd"/>
      <w:r w:rsidRPr="00BE3B2F">
        <w:rPr>
          <w:rStyle w:val="font12"/>
          <w:rFonts w:eastAsiaTheme="minorEastAsia"/>
          <w:color w:val="000000"/>
          <w:sz w:val="28"/>
          <w:szCs w:val="28"/>
          <w:bdr w:val="none" w:sz="0" w:space="0" w:color="auto" w:frame="1"/>
        </w:rPr>
        <w:t>) и обманный атакующий удар (скидка);</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7) имитация атакующего удара и задержка мяча над сеткой (прижимание к блоку соперника).</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color w:val="000000"/>
          <w:sz w:val="28"/>
          <w:szCs w:val="28"/>
          <w:bdr w:val="none" w:sz="0" w:space="0" w:color="auto" w:frame="1"/>
        </w:rPr>
      </w:pPr>
      <w:r w:rsidRPr="00BE3B2F">
        <w:rPr>
          <w:rStyle w:val="font12"/>
          <w:rFonts w:eastAsiaTheme="minorEastAsia"/>
          <w:b/>
          <w:bCs/>
          <w:color w:val="000000"/>
          <w:sz w:val="28"/>
          <w:szCs w:val="28"/>
          <w:bdr w:val="none" w:sz="0" w:space="0" w:color="auto" w:frame="1"/>
        </w:rPr>
        <w:t>Тактика защиты.</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Цель защитных действий — противодействие активным (атакующим) действиям соперника над сеткой или падению мяча на площадку. Игра в защите включает командные, групповые и индивидуальные тактические действия.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i/>
          <w:color w:val="000000"/>
          <w:sz w:val="28"/>
          <w:szCs w:val="28"/>
          <w:bdr w:val="none" w:sz="0" w:space="0" w:color="auto" w:frame="1"/>
        </w:rPr>
      </w:pPr>
      <w:r w:rsidRPr="00BE3B2F">
        <w:rPr>
          <w:rStyle w:val="font12"/>
          <w:rFonts w:eastAsiaTheme="minorEastAsia"/>
          <w:b/>
          <w:bCs/>
          <w:i/>
          <w:color w:val="000000"/>
          <w:sz w:val="28"/>
          <w:szCs w:val="28"/>
          <w:bdr w:val="none" w:sz="0" w:space="0" w:color="auto" w:frame="1"/>
        </w:rPr>
        <w:t>Командные тактические действия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Действия команды в защите определяются тремя основными моментами состояния игры: приема подачи, приема атакующего (нападающего) удара или отскочившего мяча от блока соперника (страховка атакующего игрока). Содержание командных действий обусловлено следующими основными факторами: особенностью нападающих действий команды соперника, возможностью исполнительского мастерства игроков, характером последующих действий, особенностью игровой ситуации. Все возможные (типичные) случаи отмеченных факторов команда должна уметь предвидеть и подготовить методы и способы (варианты) противодействий. Рассмотрим наиболее типичные из них.</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При приеме подач команда использует в основном два варианта расположения игроков: в линию и уступами. Вариант в линию (см. рис. 68, а) используется тогда, когда все игроки одинаково владеют мастерством приема подачи, а в нападении не применяется каких-либо сложных построений. Игровое пространство площадки при данном варианте расстановки игроков </w:t>
      </w:r>
      <w:r w:rsidRPr="00BE3B2F">
        <w:rPr>
          <w:rStyle w:val="font12"/>
          <w:rFonts w:eastAsiaTheme="minorEastAsia"/>
          <w:color w:val="000000"/>
          <w:sz w:val="28"/>
          <w:szCs w:val="28"/>
          <w:bdr w:val="none" w:sz="0" w:space="0" w:color="auto" w:frame="1"/>
        </w:rPr>
        <w:lastRenderedPageBreak/>
        <w:t>распределяется равномерно. Однако следует учитывать следующие основные особенности тактики подач соперника:</w:t>
      </w:r>
    </w:p>
    <w:p w:rsidR="00B96580" w:rsidRPr="00BE3B2F" w:rsidRDefault="00B96580" w:rsidP="00B96580">
      <w:pPr>
        <w:pStyle w:val="a3"/>
        <w:numPr>
          <w:ilvl w:val="0"/>
          <w:numId w:val="1"/>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выбор места (расстояние от сетки) на площадке;</w:t>
      </w:r>
    </w:p>
    <w:p w:rsidR="00B96580" w:rsidRPr="00BE3B2F" w:rsidRDefault="00B96580" w:rsidP="00B96580">
      <w:pPr>
        <w:pStyle w:val="a3"/>
        <w:numPr>
          <w:ilvl w:val="0"/>
          <w:numId w:val="1"/>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возможность чередования соперником подач по силе;</w:t>
      </w:r>
    </w:p>
    <w:p w:rsidR="00B96580" w:rsidRPr="00BE3B2F" w:rsidRDefault="00B96580" w:rsidP="00B96580">
      <w:pPr>
        <w:pStyle w:val="a3"/>
        <w:numPr>
          <w:ilvl w:val="0"/>
          <w:numId w:val="1"/>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возможность подач между игроками;</w:t>
      </w:r>
    </w:p>
    <w:p w:rsidR="00B96580" w:rsidRPr="00BE3B2F" w:rsidRDefault="00B96580" w:rsidP="00B96580">
      <w:pPr>
        <w:pStyle w:val="a3"/>
        <w:numPr>
          <w:ilvl w:val="0"/>
          <w:numId w:val="1"/>
        </w:numPr>
        <w:shd w:val="clear" w:color="auto" w:fill="FFFFFF"/>
        <w:tabs>
          <w:tab w:val="left" w:pos="851"/>
        </w:tabs>
        <w:spacing w:before="0" w:beforeAutospacing="0" w:after="0" w:afterAutospacing="0"/>
        <w:ind w:left="0"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 xml:space="preserve">возможность подач навстречу выходу связующего. </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В современном волейболе преимущественное применение получил вариант расстановки уступами. Он позволяет лучше использовать положительные качества игроков как при приеме подач, так и при организации атакующих действий. Так, если игрок зоны 3 не владеет хорошо передачей мяча, а игрок зоны 4 — атакующим ударом, то одним из вариантов расстановки может быть показанный на рисунке 68,</w:t>
      </w:r>
      <w:r w:rsidRPr="00BE3B2F">
        <w:rPr>
          <w:rStyle w:val="apple-converted-space"/>
          <w:i/>
          <w:iCs/>
          <w:color w:val="000000"/>
          <w:sz w:val="28"/>
          <w:szCs w:val="28"/>
          <w:bdr w:val="none" w:sz="0" w:space="0" w:color="auto" w:frame="1"/>
        </w:rPr>
        <w:t> </w:t>
      </w:r>
      <w:r w:rsidRPr="00BE3B2F">
        <w:rPr>
          <w:rStyle w:val="font12"/>
          <w:rFonts w:eastAsiaTheme="minorEastAsia"/>
          <w:i/>
          <w:iCs/>
          <w:color w:val="000000"/>
          <w:sz w:val="28"/>
          <w:szCs w:val="28"/>
          <w:bdr w:val="none" w:sz="0" w:space="0" w:color="auto" w:frame="1"/>
        </w:rPr>
        <w:t>в.</w:t>
      </w:r>
      <w:r w:rsidRPr="00BE3B2F">
        <w:rPr>
          <w:rStyle w:val="apple-converted-space"/>
          <w:color w:val="000000"/>
          <w:sz w:val="28"/>
          <w:szCs w:val="28"/>
          <w:bdr w:val="none" w:sz="0" w:space="0" w:color="auto" w:frame="1"/>
        </w:rPr>
        <w:t> </w:t>
      </w:r>
      <w:r w:rsidRPr="00BE3B2F">
        <w:rPr>
          <w:rStyle w:val="font12"/>
          <w:rFonts w:eastAsiaTheme="minorEastAsia"/>
          <w:color w:val="000000"/>
          <w:sz w:val="28"/>
          <w:szCs w:val="28"/>
          <w:bdr w:val="none" w:sz="0" w:space="0" w:color="auto" w:frame="1"/>
        </w:rPr>
        <w:t>При этом, если игрок зоны 3 хорошо владеет приемом подачи, то он может оттянуться и в глубину площадки, но не далее игрока зоны 6. При выходе связующего игрока из зоны 1 наиболее оптимальной признается расстановка, показанная на рисунке 69, а, а из зоны 6 — на рисунке 69, б. Несколько сложный, но часто встречающийся вариант расстановки команды при выходе связующего из зоны 5 (рис. 69,</w:t>
      </w:r>
      <w:r w:rsidRPr="00BE3B2F">
        <w:rPr>
          <w:rStyle w:val="apple-converted-space"/>
          <w:i/>
          <w:iCs/>
          <w:color w:val="000000"/>
          <w:sz w:val="28"/>
          <w:szCs w:val="28"/>
          <w:bdr w:val="none" w:sz="0" w:space="0" w:color="auto" w:frame="1"/>
        </w:rPr>
        <w:t> </w:t>
      </w:r>
      <w:r w:rsidRPr="00BE3B2F">
        <w:rPr>
          <w:rStyle w:val="font12"/>
          <w:rFonts w:eastAsiaTheme="minorEastAsia"/>
          <w:i/>
          <w:iCs/>
          <w:color w:val="000000"/>
          <w:sz w:val="28"/>
          <w:szCs w:val="28"/>
          <w:bdr w:val="none" w:sz="0" w:space="0" w:color="auto" w:frame="1"/>
        </w:rPr>
        <w:t>в).</w:t>
      </w:r>
      <w:r w:rsidRPr="00BE3B2F">
        <w:rPr>
          <w:rStyle w:val="apple-converted-space"/>
          <w:color w:val="000000"/>
          <w:sz w:val="28"/>
          <w:szCs w:val="28"/>
          <w:bdr w:val="none" w:sz="0" w:space="0" w:color="auto" w:frame="1"/>
        </w:rPr>
        <w:t> </w:t>
      </w:r>
      <w:r w:rsidRPr="00BE3B2F">
        <w:rPr>
          <w:rStyle w:val="font12"/>
          <w:rFonts w:eastAsiaTheme="minorEastAsia"/>
          <w:color w:val="000000"/>
          <w:sz w:val="28"/>
          <w:szCs w:val="28"/>
          <w:bdr w:val="none" w:sz="0" w:space="0" w:color="auto" w:frame="1"/>
        </w:rPr>
        <w:t>Он особенно оправдывает себя, если команда использует в игре одного связующего (5+1).</w:t>
      </w:r>
    </w:p>
    <w:p w:rsidR="00B96580" w:rsidRPr="00930BA9" w:rsidRDefault="00B96580" w:rsidP="00B96580">
      <w:pPr>
        <w:pStyle w:val="a3"/>
        <w:shd w:val="clear" w:color="auto" w:fill="FFFFFF"/>
        <w:spacing w:before="0" w:beforeAutospacing="0" w:after="0" w:afterAutospacing="0"/>
        <w:ind w:firstLine="709"/>
        <w:jc w:val="both"/>
        <w:textAlignment w:val="baseline"/>
        <w:rPr>
          <w:color w:val="000000"/>
          <w:sz w:val="30"/>
          <w:szCs w:val="30"/>
        </w:rPr>
      </w:pPr>
    </w:p>
    <w:p w:rsidR="00B96580" w:rsidRDefault="00B96580" w:rsidP="00B96580">
      <w:pPr>
        <w:pStyle w:val="a3"/>
        <w:shd w:val="clear" w:color="auto" w:fill="FFFFFF"/>
        <w:spacing w:before="0" w:beforeAutospacing="0" w:after="0" w:afterAutospacing="0"/>
        <w:ind w:firstLine="709"/>
        <w:jc w:val="center"/>
        <w:textAlignment w:val="baseline"/>
        <w:rPr>
          <w:color w:val="000000"/>
          <w:sz w:val="30"/>
          <w:szCs w:val="30"/>
        </w:rPr>
      </w:pPr>
      <w:r w:rsidRPr="00930BA9">
        <w:rPr>
          <w:noProof/>
          <w:color w:val="000000"/>
          <w:sz w:val="30"/>
          <w:szCs w:val="30"/>
        </w:rPr>
        <w:drawing>
          <wp:inline distT="0" distB="0" distL="0" distR="0" wp14:anchorId="04CDAD40" wp14:editId="617C19FC">
            <wp:extent cx="2982686" cy="1918550"/>
            <wp:effectExtent l="0" t="0" r="0" b="0"/>
            <wp:docPr id="10" name="Рисунок 10" descr="16353b35373d4f3a_2e_14___213b433f413a3839_1b_1d__123e3b3539313e3b_32_483a3e3b3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16353b35373d4f3a_2e_14___213b433f413a3839_1b_1d__123e3b3539313e3b_32_483a3e3b35-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2752" cy="1918593"/>
                    </a:xfrm>
                    <a:prstGeom prst="rect">
                      <a:avLst/>
                    </a:prstGeom>
                    <a:noFill/>
                    <a:ln>
                      <a:noFill/>
                    </a:ln>
                  </pic:spPr>
                </pic:pic>
              </a:graphicData>
            </a:graphic>
          </wp:inline>
        </w:drawing>
      </w:r>
    </w:p>
    <w:p w:rsidR="00B96580" w:rsidRPr="00BE3B2F" w:rsidRDefault="00B96580" w:rsidP="00B96580">
      <w:pPr>
        <w:pStyle w:val="a3"/>
        <w:shd w:val="clear" w:color="auto" w:fill="FFFFFF"/>
        <w:tabs>
          <w:tab w:val="left" w:pos="3377"/>
          <w:tab w:val="left" w:pos="6189"/>
        </w:tabs>
        <w:spacing w:before="0" w:beforeAutospacing="0" w:after="0" w:afterAutospacing="0"/>
        <w:ind w:firstLine="709"/>
        <w:textAlignment w:val="baseline"/>
        <w:rPr>
          <w:color w:val="000000"/>
        </w:rPr>
      </w:pPr>
      <w:r>
        <w:rPr>
          <w:color w:val="000000"/>
          <w:sz w:val="30"/>
          <w:szCs w:val="30"/>
        </w:rPr>
        <w:tab/>
      </w:r>
      <w:r w:rsidRPr="00BE3B2F">
        <w:rPr>
          <w:color w:val="000000"/>
        </w:rPr>
        <w:t>а)</w:t>
      </w:r>
      <w:r w:rsidRPr="00BE3B2F">
        <w:rPr>
          <w:color w:val="000000"/>
        </w:rPr>
        <w:tab/>
        <w:t>б)</w:t>
      </w:r>
    </w:p>
    <w:p w:rsidR="00B96580" w:rsidRPr="00BE3B2F" w:rsidRDefault="00B96580" w:rsidP="00B96580">
      <w:pPr>
        <w:pStyle w:val="a3"/>
        <w:shd w:val="clear" w:color="auto" w:fill="FFFFFF"/>
        <w:spacing w:before="0" w:beforeAutospacing="0" w:after="0" w:afterAutospacing="0"/>
        <w:ind w:firstLine="709"/>
        <w:jc w:val="center"/>
        <w:textAlignment w:val="baseline"/>
        <w:rPr>
          <w:rStyle w:val="font12"/>
          <w:rFonts w:eastAsiaTheme="minorEastAsia"/>
          <w:color w:val="000000"/>
          <w:bdr w:val="none" w:sz="0" w:space="0" w:color="auto" w:frame="1"/>
        </w:rPr>
      </w:pPr>
      <w:r w:rsidRPr="00BE3B2F">
        <w:rPr>
          <w:rStyle w:val="font12"/>
          <w:rFonts w:eastAsiaTheme="minorEastAsia"/>
          <w:color w:val="000000"/>
          <w:bdr w:val="none" w:sz="0" w:space="0" w:color="auto" w:frame="1"/>
        </w:rPr>
        <w:t xml:space="preserve">Рисунок 76 </w:t>
      </w:r>
    </w:p>
    <w:p w:rsidR="00B96580" w:rsidRPr="00AB4DE7" w:rsidRDefault="00B96580" w:rsidP="00B96580">
      <w:pPr>
        <w:pStyle w:val="a3"/>
        <w:shd w:val="clear" w:color="auto" w:fill="FFFFFF"/>
        <w:spacing w:before="0" w:beforeAutospacing="0" w:after="0" w:afterAutospacing="0"/>
        <w:ind w:firstLine="709"/>
        <w:jc w:val="center"/>
        <w:textAlignment w:val="baseline"/>
        <w:rPr>
          <w:color w:val="000000"/>
          <w:sz w:val="20"/>
          <w:szCs w:val="20"/>
        </w:rPr>
      </w:pP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приеме атакующих ударов используются в основном три системы расстановки игроков защиты: в линию — при страховке блокирующих (блокирующего) свободным игроком передней линии (рис. 75); уступом вперед — при страховке игроком зоны 6 (рис. 75,а) и уступом назад — при страховке блокирующих игроками 5 или 1 зон (рис. 76, б).</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страховке игроками передней линии игрок зоны 6 находится в середине площадки, куда зачастую направляется обманный удар в игре команд новичков. При страховке игроком зоны 6 крайние защитники оттягиваются дальше к лицевой линии, и, наоборот, к лицевой линии оттягивается игрок зоны 6 в том случае, если страховку осуществляют крайние защитники.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В командах высокой квалификации каждая из систем может не только корректироваться в зависимости от особенностей постановки блока и атакующих действии соперника, но и модифицироваться с учетом </w:t>
      </w:r>
      <w:r w:rsidRPr="00BE3B2F">
        <w:rPr>
          <w:rStyle w:val="font12"/>
          <w:rFonts w:eastAsiaTheme="minorEastAsia"/>
          <w:color w:val="000000"/>
          <w:sz w:val="28"/>
          <w:szCs w:val="28"/>
          <w:bdr w:val="none" w:sz="0" w:space="0" w:color="auto" w:frame="1"/>
        </w:rPr>
        <w:lastRenderedPageBreak/>
        <w:t>специализации игроков на блоке и в защитных действиях. В организации защитных действий команды во внимание принимаются главные характеристики систем: первая — применяется на начальном освоении взаимодействия, вторая — при использовании соперником частых обманных ударов за блок, третья — при мощных атакующих действиях соперника. Отсюда понятно, что эффективность защитных действий обусловливается не достоинствами той или иной системы, а умением команды применять их в зависимости от характера атакующих действий соперника. В этом смысле наиболее оправдывают себя смешанные варианты защиты.</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Организация страховки атакующего игрока — один из наиболее сложных аспектов командных защитных действий. Это объясняется высокой скоростью отскока мяча от рук блокирующих и большой вариативностью направления его полета. Основным принципом страховки атакующего является эшелонированное (в два порядка) расположение игроков команды. Конкретные действия каждого игрока обусловлены применяемой системой защиты.</w:t>
      </w:r>
    </w:p>
    <w:p w:rsidR="00B96580" w:rsidRPr="00930BA9" w:rsidRDefault="00B96580" w:rsidP="00B96580">
      <w:pPr>
        <w:pStyle w:val="a3"/>
        <w:shd w:val="clear" w:color="auto" w:fill="FFFFFF"/>
        <w:spacing w:before="0" w:beforeAutospacing="0" w:after="0" w:afterAutospacing="0"/>
        <w:ind w:firstLine="709"/>
        <w:jc w:val="both"/>
        <w:textAlignment w:val="baseline"/>
        <w:rPr>
          <w:color w:val="000000"/>
          <w:sz w:val="30"/>
          <w:szCs w:val="30"/>
        </w:rPr>
      </w:pPr>
    </w:p>
    <w:p w:rsidR="00B96580" w:rsidRDefault="00B96580" w:rsidP="00B96580">
      <w:pPr>
        <w:pStyle w:val="a3"/>
        <w:shd w:val="clear" w:color="auto" w:fill="FFFFFF"/>
        <w:spacing w:before="0" w:beforeAutospacing="0" w:after="0" w:afterAutospacing="0"/>
        <w:ind w:firstLine="709"/>
        <w:jc w:val="center"/>
        <w:textAlignment w:val="baseline"/>
        <w:rPr>
          <w:color w:val="000000"/>
          <w:sz w:val="30"/>
          <w:szCs w:val="30"/>
        </w:rPr>
      </w:pPr>
      <w:r w:rsidRPr="00930BA9">
        <w:rPr>
          <w:noProof/>
          <w:color w:val="000000"/>
          <w:sz w:val="30"/>
          <w:szCs w:val="30"/>
          <w:bdr w:val="none" w:sz="0" w:space="0" w:color="auto" w:frame="1"/>
        </w:rPr>
        <w:drawing>
          <wp:inline distT="0" distB="0" distL="0" distR="0" wp14:anchorId="70FDB90D" wp14:editId="50B12620">
            <wp:extent cx="3243942" cy="1982384"/>
            <wp:effectExtent l="0" t="0" r="0" b="0"/>
            <wp:docPr id="9" name="Рисунок 9" descr="16353b35373d4f3a_2e_14___213b433f413a3839_1b_1d__123e3b3539313e3b_32_483a3e3b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16353b35373d4f3a_2e_14___213b433f413a3839_1b_1d__123e3b3539313e3b_32_483a3e3b35-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3877" cy="1982344"/>
                    </a:xfrm>
                    <a:prstGeom prst="rect">
                      <a:avLst/>
                    </a:prstGeom>
                    <a:noFill/>
                    <a:ln>
                      <a:noFill/>
                    </a:ln>
                  </pic:spPr>
                </pic:pic>
              </a:graphicData>
            </a:graphic>
          </wp:inline>
        </w:drawing>
      </w:r>
    </w:p>
    <w:p w:rsidR="00B96580" w:rsidRPr="00BE3B2F" w:rsidRDefault="00B96580" w:rsidP="00B96580">
      <w:pPr>
        <w:pStyle w:val="a3"/>
        <w:shd w:val="clear" w:color="auto" w:fill="FFFFFF"/>
        <w:tabs>
          <w:tab w:val="left" w:pos="3377"/>
          <w:tab w:val="left" w:pos="6034"/>
        </w:tabs>
        <w:spacing w:before="0" w:beforeAutospacing="0" w:after="0" w:afterAutospacing="0"/>
        <w:ind w:firstLine="709"/>
        <w:textAlignment w:val="baseline"/>
        <w:rPr>
          <w:color w:val="000000"/>
        </w:rPr>
      </w:pPr>
      <w:r>
        <w:rPr>
          <w:color w:val="000000"/>
          <w:sz w:val="30"/>
          <w:szCs w:val="30"/>
        </w:rPr>
        <w:tab/>
      </w:r>
      <w:r w:rsidRPr="00BE3B2F">
        <w:rPr>
          <w:color w:val="000000"/>
        </w:rPr>
        <w:t>а)</w:t>
      </w:r>
      <w:r w:rsidRPr="00BE3B2F">
        <w:rPr>
          <w:color w:val="000000"/>
        </w:rPr>
        <w:tab/>
        <w:t>б)</w:t>
      </w:r>
    </w:p>
    <w:p w:rsidR="00B96580" w:rsidRPr="00BE3B2F" w:rsidRDefault="00B96580" w:rsidP="00B96580">
      <w:pPr>
        <w:pStyle w:val="a3"/>
        <w:shd w:val="clear" w:color="auto" w:fill="FFFFFF"/>
        <w:spacing w:before="0" w:beforeAutospacing="0" w:after="0" w:afterAutospacing="0"/>
        <w:ind w:firstLine="709"/>
        <w:jc w:val="center"/>
        <w:textAlignment w:val="baseline"/>
        <w:rPr>
          <w:rStyle w:val="font12"/>
          <w:rFonts w:eastAsiaTheme="minorEastAsia"/>
          <w:color w:val="000000"/>
          <w:bdr w:val="none" w:sz="0" w:space="0" w:color="auto" w:frame="1"/>
        </w:rPr>
      </w:pPr>
      <w:r w:rsidRPr="00BE3B2F">
        <w:rPr>
          <w:rStyle w:val="font12"/>
          <w:rFonts w:eastAsiaTheme="minorEastAsia"/>
          <w:color w:val="000000"/>
          <w:bdr w:val="none" w:sz="0" w:space="0" w:color="auto" w:frame="1"/>
        </w:rPr>
        <w:t xml:space="preserve">Рисунок 77 </w:t>
      </w:r>
    </w:p>
    <w:p w:rsidR="00B96580" w:rsidRPr="00AB4DE7" w:rsidRDefault="00B96580" w:rsidP="00B96580">
      <w:pPr>
        <w:pStyle w:val="a3"/>
        <w:shd w:val="clear" w:color="auto" w:fill="FFFFFF"/>
        <w:spacing w:before="0" w:beforeAutospacing="0" w:after="0" w:afterAutospacing="0"/>
        <w:ind w:firstLine="709"/>
        <w:jc w:val="center"/>
        <w:textAlignment w:val="baseline"/>
        <w:rPr>
          <w:color w:val="000000"/>
          <w:sz w:val="20"/>
          <w:szCs w:val="20"/>
        </w:rPr>
      </w:pP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bookmarkStart w:id="0" w:name="_GoBack"/>
      <w:r w:rsidRPr="00BE3B2F">
        <w:rPr>
          <w:rStyle w:val="font12"/>
          <w:rFonts w:eastAsiaTheme="minorEastAsia"/>
          <w:color w:val="000000"/>
          <w:sz w:val="28"/>
          <w:szCs w:val="28"/>
          <w:bdr w:val="none" w:sz="0" w:space="0" w:color="auto" w:frame="1"/>
        </w:rPr>
        <w:t>Первый (ближний) эшелон страховки составляют связующий (если атакует ближний от него игрок), защитник (зоны 6 или 5, 1) и ближайший нападающий, если он не занят в организации атакующих действий (рис. 77,</w:t>
      </w:r>
      <w:r w:rsidRPr="00BE3B2F">
        <w:rPr>
          <w:rStyle w:val="apple-converted-space"/>
          <w:i/>
          <w:iCs/>
          <w:color w:val="000000"/>
          <w:sz w:val="28"/>
          <w:szCs w:val="28"/>
          <w:bdr w:val="none" w:sz="0" w:space="0" w:color="auto" w:frame="1"/>
        </w:rPr>
        <w:t> </w:t>
      </w:r>
      <w:r w:rsidRPr="00BE3B2F">
        <w:rPr>
          <w:rStyle w:val="font12"/>
          <w:rFonts w:eastAsiaTheme="minorEastAsia"/>
          <w:i/>
          <w:iCs/>
          <w:color w:val="000000"/>
          <w:sz w:val="28"/>
          <w:szCs w:val="28"/>
          <w:bdr w:val="none" w:sz="0" w:space="0" w:color="auto" w:frame="1"/>
        </w:rPr>
        <w:t>а).</w:t>
      </w:r>
      <w:r w:rsidRPr="00BE3B2F">
        <w:rPr>
          <w:rStyle w:val="apple-converted-space"/>
          <w:color w:val="000000"/>
          <w:sz w:val="28"/>
          <w:szCs w:val="28"/>
          <w:bdr w:val="none" w:sz="0" w:space="0" w:color="auto" w:frame="1"/>
        </w:rPr>
        <w:t> </w:t>
      </w:r>
      <w:r w:rsidRPr="00BE3B2F">
        <w:rPr>
          <w:rStyle w:val="font12"/>
          <w:rFonts w:eastAsiaTheme="minorEastAsia"/>
          <w:color w:val="000000"/>
          <w:sz w:val="28"/>
          <w:szCs w:val="28"/>
          <w:bdr w:val="none" w:sz="0" w:space="0" w:color="auto" w:frame="1"/>
        </w:rPr>
        <w:t>Второй эшелон (дальний) составляют: оставшийся игрок передней линии (для страховки площади атаки) и задней (для страховки площади защиты).</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Как бы ни варьировались атакующие действия соперника, этот принцип организации страховки должен быть неизменным (рис. 77, б). При этом главным фактором высокой эффективности страховки является высокая готовность всех игроков команды. Чем ближе к атакующему располагается страхующий игрок, тем ниже должна быть его стойка и тем выше степень готовности.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i/>
          <w:color w:val="000000"/>
          <w:sz w:val="28"/>
          <w:szCs w:val="28"/>
          <w:bdr w:val="none" w:sz="0" w:space="0" w:color="auto" w:frame="1"/>
        </w:rPr>
      </w:pPr>
      <w:r w:rsidRPr="00BE3B2F">
        <w:rPr>
          <w:rStyle w:val="font12"/>
          <w:rFonts w:eastAsiaTheme="minorEastAsia"/>
          <w:b/>
          <w:bCs/>
          <w:i/>
          <w:color w:val="000000"/>
          <w:sz w:val="28"/>
          <w:szCs w:val="28"/>
          <w:bdr w:val="none" w:sz="0" w:space="0" w:color="auto" w:frame="1"/>
        </w:rPr>
        <w:t>Групповые тактические действия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bCs/>
          <w:color w:val="000000"/>
          <w:sz w:val="28"/>
          <w:szCs w:val="28"/>
          <w:bdr w:val="none" w:sz="0" w:space="0" w:color="auto" w:frame="1"/>
        </w:rPr>
        <w:lastRenderedPageBreak/>
        <w:t>Групповые тактические действия</w:t>
      </w:r>
      <w:r w:rsidRPr="00BE3B2F">
        <w:rPr>
          <w:rStyle w:val="apple-converted-space"/>
          <w:color w:val="000000"/>
          <w:sz w:val="28"/>
          <w:szCs w:val="28"/>
          <w:bdr w:val="none" w:sz="0" w:space="0" w:color="auto" w:frame="1"/>
        </w:rPr>
        <w:t> </w:t>
      </w:r>
      <w:r w:rsidRPr="00BE3B2F">
        <w:rPr>
          <w:rStyle w:val="font12"/>
          <w:rFonts w:eastAsiaTheme="minorEastAsia"/>
          <w:color w:val="000000"/>
          <w:sz w:val="28"/>
          <w:szCs w:val="28"/>
          <w:bdr w:val="none" w:sz="0" w:space="0" w:color="auto" w:frame="1"/>
        </w:rPr>
        <w:t>— это взаимодействия нескольких игроков в отдельных моментах игры: при приеме подач и атакующих ударов, блокировании соперника и страховке своего атакующего игрока.</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Основу групповых тактических действий у сетки составляет групповой (преимущественно двойной) блок. Тройной блок применяется редко. Блокирующие разделяются на среднего и крайних. При этом ведущую (основную) роль в организации двойного блока играет волейболист, противодействующий основному направлению атаки. Отсюда, например, если удастся установить, что преимущественное направление атак соперника по диагонали, то в середине сетки должен находиться сильнейший блокирующий игрок. При тройном блокировании, а оно чаще всего применяется в середине сетки, крайние игроки пристраиваются к среднему.</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Успех группового блока всецело зависит от согласованности действий игроков. Вот наиболее важные положения организации двойного блока:</w:t>
      </w:r>
    </w:p>
    <w:p w:rsidR="00B96580" w:rsidRPr="00BE3B2F" w:rsidRDefault="00B96580" w:rsidP="00B96580">
      <w:pPr>
        <w:pStyle w:val="a3"/>
        <w:numPr>
          <w:ilvl w:val="0"/>
          <w:numId w:val="2"/>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блокировании ударов по ходу с высоких передач руки блокирующих соприкасаются друг с другом;</w:t>
      </w:r>
    </w:p>
    <w:p w:rsidR="00B96580" w:rsidRPr="00BE3B2F" w:rsidRDefault="00B96580" w:rsidP="00B96580">
      <w:pPr>
        <w:pStyle w:val="a3"/>
        <w:numPr>
          <w:ilvl w:val="0"/>
          <w:numId w:val="2"/>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блокировании ударов с переводом влево в зоне 4 средний игрок располагается левее мяча, выставляя руки под углом к сетке, крайний блокирующий располагается напротив мяча и приближает руки к среднему;</w:t>
      </w:r>
    </w:p>
    <w:p w:rsidR="00B96580" w:rsidRPr="00BE3B2F" w:rsidRDefault="00B96580" w:rsidP="00B96580">
      <w:pPr>
        <w:pStyle w:val="a3"/>
        <w:numPr>
          <w:ilvl w:val="0"/>
          <w:numId w:val="2"/>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блокировании ударов с переводом влево крайний игрок должен развернуть правую ладонь навстречу мячу, а левую — напротив мяча, средний блокирующий приближает руки вплотную к крайнему.</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Групповые действия при приеме подач сводятся в основном к решению четырех задач:</w:t>
      </w:r>
    </w:p>
    <w:p w:rsidR="00B96580" w:rsidRPr="00BE3B2F" w:rsidRDefault="00B96580" w:rsidP="00B96580">
      <w:pPr>
        <w:pStyle w:val="a3"/>
        <w:numPr>
          <w:ilvl w:val="0"/>
          <w:numId w:val="3"/>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страховка игрока, принимающего подачу;</w:t>
      </w:r>
    </w:p>
    <w:p w:rsidR="00B96580" w:rsidRPr="00BE3B2F" w:rsidRDefault="00B96580" w:rsidP="00B96580">
      <w:pPr>
        <w:pStyle w:val="a3"/>
        <w:numPr>
          <w:ilvl w:val="0"/>
          <w:numId w:val="3"/>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страховка игрока, слабо принимающего подачу;</w:t>
      </w:r>
    </w:p>
    <w:p w:rsidR="00B96580" w:rsidRPr="00BE3B2F" w:rsidRDefault="00B96580" w:rsidP="00B96580">
      <w:pPr>
        <w:pStyle w:val="a3"/>
        <w:numPr>
          <w:ilvl w:val="0"/>
          <w:numId w:val="3"/>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взаимодействие при полном выключении из приема определенного игрока (игроков);</w:t>
      </w:r>
    </w:p>
    <w:p w:rsidR="00B96580" w:rsidRPr="00BE3B2F" w:rsidRDefault="00B96580" w:rsidP="00B96580">
      <w:pPr>
        <w:pStyle w:val="a3"/>
        <w:numPr>
          <w:ilvl w:val="0"/>
          <w:numId w:val="3"/>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взаимодействие с выходящим (связующим) игроком.</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Каждый игрок должен быть готов подстраховать партнеров, принимающих подачу, особенно располагающихся у боковых линий площадки. Игроку, слабо принимающему подачу, отводится ограниченный простор действий до возможного предела. Игрок, не владеющий приемом, в критические моменты игры выключается вообще.</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Для обеспечения нормального построения взаимодействий атакующих игроков большую роль играет надежный выход к сетке связующего игрока из тыловых зон. В этом случае имеет место строгая согласованность действий связующего игрока и закрывающего при приеме подачи зону выхода: время выхода, направление передвижения, скорость передвижения и т.д.</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Групповые действия при приеме атакующего удара включают следующие взаимодействия игроков: защитников между собой, защитников со страхующими (первый и второй эшелоны страховки); страхующих с блокирующими; защитников с блокирующими; страхующих между собой.</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При каждых взаимодействиях функции игроков детализируются и распределяются за конкретными игроками. Задача состоит в том, чтобы, по </w:t>
      </w:r>
      <w:r w:rsidRPr="00BE3B2F">
        <w:rPr>
          <w:rStyle w:val="font12"/>
          <w:rFonts w:eastAsiaTheme="minorEastAsia"/>
          <w:color w:val="000000"/>
          <w:sz w:val="28"/>
          <w:szCs w:val="28"/>
          <w:bdr w:val="none" w:sz="0" w:space="0" w:color="auto" w:frame="1"/>
        </w:rPr>
        <w:lastRenderedPageBreak/>
        <w:t>возможности, исключить все неясности или сомнения. Так, например, для более успешного взаимодействия защитников между собой необходимо четко определить зоны действий игроков с учетом направления атакующих ударов и уровня их мастерства. При этом, если игрок владеет высокой быстротой передвижений и техникой приема в падении, ему отводится больший и ответственный район действий.</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Особую роль при согласовании взаимодействий имеет игровая дисциплина. Казалось бы, что стоит игроку выполнить простую на первый взгляд установку учителя: при косом ударе из скоростных передач не покидать преждевременно боковую линию (между зон 2—1; 4—5)? Между тем в каждых 7 случаях из 10 учащиеся забывают об указании и пытаются разрешить задачу, полагаясь на свое понимание игровых ситуаций (как правило, это преждевременный выход вперед), которое приводит к рассогласованию взаимодействий с другими игроками.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Четкость групповых взаимодействий особенно важна в моменты молниеносного протекания игровых ситуаций, например, при страховке нападающего. Здесь первостепенной задачей является определение игрока, который будет ведущим в первом эшелоне страхующих, т.е. ближним к атакующему. Он должен быть определен при всех возможных вариантах атаки соперника. Кроме того, необходимо также четко определить зоны действий и роль других игроков как первого, так и второго эшелона.</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Таким образом, строгое определение функций игроков с учетом принятых систем игры и особенностей их подготовленности и действий соперника, а также коррекция сомнительных моментов путем предварительной договоренности между игроками и установок учителя обеспечивают успех групповых взаимодействий.</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bCs/>
          <w:i/>
          <w:color w:val="000000"/>
          <w:sz w:val="28"/>
          <w:szCs w:val="28"/>
          <w:bdr w:val="none" w:sz="0" w:space="0" w:color="auto" w:frame="1"/>
        </w:rPr>
      </w:pPr>
      <w:r w:rsidRPr="00BE3B2F">
        <w:rPr>
          <w:rStyle w:val="font12"/>
          <w:rFonts w:eastAsiaTheme="minorEastAsia"/>
          <w:b/>
          <w:bCs/>
          <w:i/>
          <w:color w:val="000000"/>
          <w:sz w:val="28"/>
          <w:szCs w:val="28"/>
          <w:bdr w:val="none" w:sz="0" w:space="0" w:color="auto" w:frame="1"/>
        </w:rPr>
        <w:t>Индивидуальные тактические действия</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Индивидуальные действия игрока в защите включают: выбор места и действия при приеме подач, атакующих ударов, отскочившего мяча от блока соперника, блокирования и </w:t>
      </w:r>
      <w:proofErr w:type="spellStart"/>
      <w:r w:rsidRPr="00BE3B2F">
        <w:rPr>
          <w:rStyle w:val="font12"/>
          <w:rFonts w:eastAsiaTheme="minorEastAsia"/>
          <w:color w:val="000000"/>
          <w:sz w:val="28"/>
          <w:szCs w:val="28"/>
          <w:bdr w:val="none" w:sz="0" w:space="0" w:color="auto" w:frame="1"/>
        </w:rPr>
        <w:t>самостраховке</w:t>
      </w:r>
      <w:proofErr w:type="spellEnd"/>
      <w:r w:rsidRPr="00BE3B2F">
        <w:rPr>
          <w:rStyle w:val="font12"/>
          <w:rFonts w:eastAsiaTheme="minorEastAsia"/>
          <w:color w:val="000000"/>
          <w:sz w:val="28"/>
          <w:szCs w:val="28"/>
          <w:bdr w:val="none" w:sz="0" w:space="0" w:color="auto" w:frame="1"/>
        </w:rPr>
        <w:t xml:space="preserve"> при блокировании.</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приеме подач игрок выбирает место с учетом зоны (радиуса) своих действий и особенностей подачи соперника. При подачах на силу он располагается за средней частью площадки с таким расчетом, чтобы принять мяч снизу на уровне пояса. В том случае, когда соперник чередует подачи на силу с подачами на переднюю линию, принимающий должен внимательно следить за действиями подающего. Наиболее надежной информацией предполагаемых действий соперника служит амплитуда замаха при подаче. В любом случае необходимо располагаться не ближе средней части площадки, так как передвижение вперед более благополучно для приема мяча, нежели назад.</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приеме атакующих ударов большое значение имеет анализ игровых ситуаций, что в общем обусловливается игровым опытом.</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 xml:space="preserve">При выборе места для приема атакующего удара важно определить направление удара, траекторию и направление передачи, удаление мяча от </w:t>
      </w:r>
      <w:r w:rsidRPr="00BE3B2F">
        <w:rPr>
          <w:rStyle w:val="font12"/>
          <w:rFonts w:eastAsiaTheme="minorEastAsia"/>
          <w:color w:val="000000"/>
          <w:sz w:val="28"/>
          <w:szCs w:val="28"/>
          <w:bdr w:val="none" w:sz="0" w:space="0" w:color="auto" w:frame="1"/>
        </w:rPr>
        <w:lastRenderedPageBreak/>
        <w:t>сетки, индивидуальные особенности нападающего, а также учитывать требования принятой системы командных взаимодействий в защите. Вот некоторая предварительная информация, помогающая более эффективно действовать в защите:</w:t>
      </w:r>
    </w:p>
    <w:p w:rsidR="00B96580" w:rsidRPr="00BE3B2F" w:rsidRDefault="00B96580" w:rsidP="00B96580">
      <w:pPr>
        <w:pStyle w:val="a3"/>
        <w:numPr>
          <w:ilvl w:val="0"/>
          <w:numId w:val="3"/>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передача для удара удалена от сетки, следовательно, атакующий удар будет направлен в дальние зоны площадки;</w:t>
      </w:r>
    </w:p>
    <w:p w:rsidR="00B96580" w:rsidRPr="00BE3B2F" w:rsidRDefault="00B96580" w:rsidP="00B96580">
      <w:pPr>
        <w:pStyle w:val="a3"/>
        <w:numPr>
          <w:ilvl w:val="0"/>
          <w:numId w:val="3"/>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передача занижена и нападающий ускоряет разбег к мячу, косой удар или обман;</w:t>
      </w:r>
    </w:p>
    <w:p w:rsidR="00B96580" w:rsidRPr="00BE3B2F" w:rsidRDefault="00B96580" w:rsidP="00B96580">
      <w:pPr>
        <w:pStyle w:val="a3"/>
        <w:numPr>
          <w:ilvl w:val="0"/>
          <w:numId w:val="3"/>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передача для удара выполнена на сетку: атака на опережение в косом направлении или отбивание мяча кулаком;</w:t>
      </w:r>
    </w:p>
    <w:p w:rsidR="00B96580" w:rsidRPr="00BE3B2F" w:rsidRDefault="00B96580" w:rsidP="00B96580">
      <w:pPr>
        <w:pStyle w:val="a3"/>
        <w:numPr>
          <w:ilvl w:val="0"/>
          <w:numId w:val="3"/>
        </w:numPr>
        <w:shd w:val="clear" w:color="auto" w:fill="FFFFFF"/>
        <w:tabs>
          <w:tab w:val="left" w:pos="851"/>
        </w:tabs>
        <w:spacing w:before="0" w:beforeAutospacing="0" w:after="0" w:afterAutospacing="0"/>
        <w:ind w:left="0"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атака против низкорослого блокирующего: удар по задней линии или с отскоком от блока.</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страховке атакующего важно учитывать расстояние до него, характер блока соперника и передачи на удар. Так, если атака выполняется с передач, близких к сетке против организованного блока, следует ожидать почти вертикального отскока мяча. Для этого ближайшему страхующему необходимо располагаться в 1 м от атакующего в низкой стойке с вытянутыми вперед руками для приема мяча снизу.</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атакующих ударах из передач с заниженной траекторией и удаленных от сетки вероятность отскока в глубину площадки увеличивается. Важнейшими факторами успешных действий игрока в защите являются наблюдательность (внимание) и готовность к действию.</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При блокировании выбор места и своевременность прыжка имеют определяющее значение. При зонном (неподвижном) блоке игрок закрывает только одно направление удара — зону площадки. При подвижном блоке он закрывает направление удара.</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Время (момент) для прыжка на блок во многом зависит от характера передач на удар. При ударах с высоких и средних передач блокирующий прыгает после атакующего. При ударах с низких и скоростных передач — одновременно с атакующим, при атаке на взлете — раньше атакующего.</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Вынос рук над сеткой осуществляется в последний момент, что затрудняет оценку характера блока. Однако это не распространяется на те случаи, когда передача выполнена на сетку и атакующий стремится выиграть дуэль на опережении. В этих случаях, как и при ударах с близких к сетке передач, вынос рук и перенос их через сетку должен осуществляться активно.</w:t>
      </w:r>
    </w:p>
    <w:p w:rsidR="00B96580" w:rsidRPr="00BE3B2F" w:rsidRDefault="00B96580" w:rsidP="00B96580">
      <w:pPr>
        <w:pStyle w:val="a3"/>
        <w:shd w:val="clear" w:color="auto" w:fill="FFFFFF"/>
        <w:spacing w:before="0" w:beforeAutospacing="0" w:after="0" w:afterAutospacing="0"/>
        <w:ind w:firstLine="709"/>
        <w:jc w:val="both"/>
        <w:textAlignment w:val="baseline"/>
        <w:rPr>
          <w:color w:val="000000"/>
          <w:sz w:val="28"/>
          <w:szCs w:val="28"/>
        </w:rPr>
      </w:pPr>
      <w:r w:rsidRPr="00BE3B2F">
        <w:rPr>
          <w:rStyle w:val="font12"/>
          <w:rFonts w:eastAsiaTheme="minorEastAsia"/>
          <w:color w:val="000000"/>
          <w:sz w:val="28"/>
          <w:szCs w:val="28"/>
          <w:bdr w:val="none" w:sz="0" w:space="0" w:color="auto" w:frame="1"/>
        </w:rPr>
        <w:t>Постановка рук и особенно кистей зависит от направления удара. При ударах по ходу разбега ладони располагают точно напротив мяча почти в одной плоскости. При блокировании косых ударов из зон 4 и 2 руки выносят левее (правее) мяча и одну ладонь поворачивают навстречу мячу. Аналогично поступают и при ударах с переводами, с той лишь разницей, что при переводе влево руки выносят справа от мяча.</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color w:val="000000"/>
          <w:sz w:val="28"/>
          <w:szCs w:val="28"/>
          <w:bdr w:val="none" w:sz="0" w:space="0" w:color="auto" w:frame="1"/>
        </w:rPr>
      </w:pPr>
      <w:r w:rsidRPr="00BE3B2F">
        <w:rPr>
          <w:rStyle w:val="font12"/>
          <w:rFonts w:eastAsiaTheme="minorEastAsia"/>
          <w:color w:val="000000"/>
          <w:sz w:val="28"/>
          <w:szCs w:val="28"/>
          <w:bdr w:val="none" w:sz="0" w:space="0" w:color="auto" w:frame="1"/>
        </w:rPr>
        <w:t xml:space="preserve">При </w:t>
      </w:r>
      <w:proofErr w:type="spellStart"/>
      <w:r w:rsidRPr="00BE3B2F">
        <w:rPr>
          <w:rStyle w:val="font12"/>
          <w:rFonts w:eastAsiaTheme="minorEastAsia"/>
          <w:color w:val="000000"/>
          <w:sz w:val="28"/>
          <w:szCs w:val="28"/>
          <w:bdr w:val="none" w:sz="0" w:space="0" w:color="auto" w:frame="1"/>
        </w:rPr>
        <w:t>самостраховке</w:t>
      </w:r>
      <w:proofErr w:type="spellEnd"/>
      <w:r w:rsidRPr="00BE3B2F">
        <w:rPr>
          <w:rStyle w:val="font12"/>
          <w:rFonts w:eastAsiaTheme="minorEastAsia"/>
          <w:color w:val="000000"/>
          <w:sz w:val="28"/>
          <w:szCs w:val="28"/>
          <w:bdr w:val="none" w:sz="0" w:space="0" w:color="auto" w:frame="1"/>
        </w:rPr>
        <w:t xml:space="preserve"> после выполнения блока (а иногда и атакующего удара) игрок должен помнить, что радиус его действий — вытянутая рука. На этом расстоянии от сетки он обязан, быстро повернувшись после блока, </w:t>
      </w:r>
      <w:r w:rsidRPr="00BE3B2F">
        <w:rPr>
          <w:rStyle w:val="font12"/>
          <w:rFonts w:eastAsiaTheme="minorEastAsia"/>
          <w:color w:val="000000"/>
          <w:sz w:val="28"/>
          <w:szCs w:val="28"/>
          <w:bdr w:val="none" w:sz="0" w:space="0" w:color="auto" w:frame="1"/>
        </w:rPr>
        <w:lastRenderedPageBreak/>
        <w:t>принять отскочивший мяч. Опытные игроки начинают поворот, еще будучи в безопорном положении, что позволяет безошибочно контролировать мяч.</w:t>
      </w:r>
    </w:p>
    <w:p w:rsidR="00B96580" w:rsidRPr="00BE3B2F" w:rsidRDefault="00B96580" w:rsidP="00B96580">
      <w:pPr>
        <w:pStyle w:val="a3"/>
        <w:shd w:val="clear" w:color="auto" w:fill="FFFFFF"/>
        <w:spacing w:before="0" w:beforeAutospacing="0" w:after="0" w:afterAutospacing="0"/>
        <w:ind w:firstLine="709"/>
        <w:jc w:val="both"/>
        <w:textAlignment w:val="baseline"/>
        <w:rPr>
          <w:rStyle w:val="font12"/>
          <w:rFonts w:eastAsiaTheme="minorEastAsia"/>
          <w:b/>
          <w:color w:val="000000"/>
          <w:sz w:val="28"/>
          <w:szCs w:val="28"/>
          <w:bdr w:val="none" w:sz="0" w:space="0" w:color="auto" w:frame="1"/>
        </w:rPr>
      </w:pPr>
    </w:p>
    <w:p w:rsidR="00B96580" w:rsidRPr="00BE3B2F" w:rsidRDefault="00B96580" w:rsidP="00B96580">
      <w:pPr>
        <w:pStyle w:val="a3"/>
        <w:shd w:val="clear" w:color="auto" w:fill="FFFFFF"/>
        <w:spacing w:before="0" w:beforeAutospacing="0" w:after="0" w:afterAutospacing="0"/>
        <w:ind w:firstLine="709"/>
        <w:jc w:val="both"/>
        <w:textAlignment w:val="baseline"/>
        <w:rPr>
          <w:b/>
          <w:sz w:val="28"/>
          <w:szCs w:val="28"/>
        </w:rPr>
      </w:pPr>
      <w:r w:rsidRPr="00BE3B2F">
        <w:rPr>
          <w:rStyle w:val="font12"/>
          <w:rFonts w:eastAsiaTheme="minorEastAsia"/>
          <w:b/>
          <w:color w:val="000000"/>
          <w:sz w:val="28"/>
          <w:szCs w:val="28"/>
          <w:bdr w:val="none" w:sz="0" w:space="0" w:color="auto" w:frame="1"/>
        </w:rPr>
        <w:t>Совершенствование технических приемов в волейболе, позволяющих выполнять тактические действия.</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Процесс совершенствования техники сугубо индивидуален. В нем классическая техника должна быть целесообразно приспособлена к индивидуальным особенностям игрока; его телосложению, уровню физической подготовленности, но основная направленность тренировок для всех волейболистов такова, чтобы посредством различных упражнений и методических приемов выработать у игроков надежность, разносторонность и помехоустойчивость технических действий в процессе соревнований. Этого совершенства можно добиться многократными повторениями упражнений, создавая определенные трудности (сбивающие факторы) при выполнении технических приемов: дополнительная физическая нагрузка, нестандартное выполнение заданий, психическая нагрузка, тренировки неидеальными мячами и т.д.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Посредством повторно–переменного метода игроки могут совершенствоваться в индивидуальных, групповых и командных упражнениях. Для увеличения интенсивности тренировки применяются упражнения с двумя, тремя мячами.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Техника совершенствуется как изолированно, так и в сочетании с тактикой, ибо решение тактических задач осуществляется посредством технических приемов.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Совершенствование техники должно проходить в условиях, приближенных к игре – при сопротивлении условного соперника, в состоянии утомления и значительного эмоционального напряжения.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Для совершенствования техники применяются упражнения, позволяющие совершенствовать отдельные технические приемы и комбинированные упражнения, в которых выполняются одновременно два или несколько приемов (нападающий удар – блок, подача – прием, передача – нападающий удар и т.д.)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Используя комплексные упражнения и игровые формы тренировки, тренер должен помнить о том, что игрокам надо предлагать только технически посильные упражнения, продумывать детали при совершенствовании элементов техники, воспитывать способность понимать над, чем работают спортсмены, почему тренируются так, а не иначе, совершенствовать технику только при хорошем самочувствии.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Ниже приведены основные комплексы упражнений для совершенствования технических приемов волейбола. При творческом подходе к тренировочному процессу, сохраняя структуру самих упражнений, можно увеличить количество вариантов данных упражнений.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p>
    <w:p w:rsidR="00B96580" w:rsidRPr="00BE3B2F" w:rsidRDefault="00B96580" w:rsidP="00B96580">
      <w:pPr>
        <w:spacing w:after="0"/>
        <w:ind w:firstLine="709"/>
        <w:rPr>
          <w:rFonts w:ascii="Times New Roman" w:hAnsi="Times New Roman" w:cs="Times New Roman"/>
          <w:b/>
          <w:sz w:val="28"/>
          <w:szCs w:val="28"/>
        </w:rPr>
      </w:pPr>
      <w:bookmarkStart w:id="1" w:name="_Toc95512"/>
      <w:r w:rsidRPr="00BE3B2F">
        <w:rPr>
          <w:rFonts w:ascii="Times New Roman" w:hAnsi="Times New Roman" w:cs="Times New Roman"/>
          <w:b/>
          <w:sz w:val="28"/>
          <w:szCs w:val="28"/>
        </w:rPr>
        <w:t>Совершенствование техники подач</w:t>
      </w:r>
      <w:bookmarkEnd w:id="1"/>
      <w:r w:rsidRPr="00BE3B2F">
        <w:rPr>
          <w:rFonts w:ascii="Times New Roman" w:hAnsi="Times New Roman" w:cs="Times New Roman"/>
          <w:b/>
          <w:sz w:val="28"/>
          <w:szCs w:val="28"/>
        </w:rPr>
        <w:t>.</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b/>
          <w:i/>
          <w:sz w:val="28"/>
          <w:szCs w:val="28"/>
        </w:rPr>
        <w:lastRenderedPageBreak/>
        <w:t>Подача</w:t>
      </w:r>
      <w:r w:rsidRPr="00BE3B2F">
        <w:rPr>
          <w:rFonts w:ascii="Times New Roman" w:hAnsi="Times New Roman" w:cs="Times New Roman"/>
          <w:sz w:val="28"/>
          <w:szCs w:val="28"/>
        </w:rPr>
        <w:t xml:space="preserve"> – одно из средств активного нападения, с помощью которого можно выиграть очко или нарушить организацию атакующих действий соперника. Это достигается точностью, разнообразием и силой подач. Совершенствование подач может проходить с учетом физической нагрузки и психического напряжения. Известные преимущества дает владение двумя видами подач. При этом одна из них, даже после высокой нагрузки, выполняется уверенно, другая подача – точно в цель. </w:t>
      </w:r>
    </w:p>
    <w:p w:rsidR="00B96580" w:rsidRPr="00BE3B2F" w:rsidRDefault="00B96580" w:rsidP="00B96580">
      <w:pPr>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 совершенствовании техники подач необходимо выполнять следующие положения: </w:t>
      </w:r>
    </w:p>
    <w:p w:rsidR="00B96580" w:rsidRPr="00BE3B2F" w:rsidRDefault="00B96580" w:rsidP="00B96580">
      <w:pPr>
        <w:pStyle w:val="a4"/>
        <w:numPr>
          <w:ilvl w:val="0"/>
          <w:numId w:val="16"/>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сначала точность, потом сила; </w:t>
      </w:r>
    </w:p>
    <w:p w:rsidR="00B96580" w:rsidRPr="00BE3B2F" w:rsidRDefault="00B96580" w:rsidP="00B96580">
      <w:pPr>
        <w:pStyle w:val="a4"/>
        <w:numPr>
          <w:ilvl w:val="0"/>
          <w:numId w:val="16"/>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подача из разных зон за лицевой линией; </w:t>
      </w:r>
    </w:p>
    <w:p w:rsidR="00B96580" w:rsidRPr="00BE3B2F" w:rsidRDefault="00B96580" w:rsidP="00B96580">
      <w:pPr>
        <w:pStyle w:val="a4"/>
        <w:numPr>
          <w:ilvl w:val="0"/>
          <w:numId w:val="16"/>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в одной серии выполнять 5 – 10 подач; </w:t>
      </w:r>
    </w:p>
    <w:p w:rsidR="00B96580" w:rsidRPr="00BE3B2F" w:rsidRDefault="00B96580" w:rsidP="00B96580">
      <w:pPr>
        <w:pStyle w:val="a4"/>
        <w:numPr>
          <w:ilvl w:val="0"/>
          <w:numId w:val="16"/>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выполняемую подачу связывать с приемом подачи. </w:t>
      </w:r>
    </w:p>
    <w:p w:rsidR="00B96580" w:rsidRPr="00BE3B2F" w:rsidRDefault="00B96580" w:rsidP="00B96580">
      <w:pPr>
        <w:spacing w:after="0" w:line="240" w:lineRule="auto"/>
        <w:ind w:firstLine="709"/>
        <w:jc w:val="both"/>
        <w:rPr>
          <w:rFonts w:ascii="Times New Roman" w:hAnsi="Times New Roman" w:cs="Times New Roman"/>
          <w:sz w:val="28"/>
          <w:szCs w:val="28"/>
        </w:rPr>
      </w:pPr>
      <w:r w:rsidRPr="00BE3B2F">
        <w:rPr>
          <w:rFonts w:ascii="Times New Roman" w:hAnsi="Times New Roman" w:cs="Times New Roman"/>
          <w:b/>
          <w:i/>
          <w:sz w:val="28"/>
          <w:szCs w:val="28"/>
        </w:rPr>
        <w:t xml:space="preserve">Примерные упражнения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Подачи в зоны площадки.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Серия подач через 5с. на точность при одинаковой удаленности цели от сетки; при разной удаленности.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Подача между сеткой и шнуром над сеткой (0,7 – 1 м).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proofErr w:type="spellStart"/>
      <w:r w:rsidRPr="00BE3B2F">
        <w:rPr>
          <w:rFonts w:ascii="Times New Roman" w:hAnsi="Times New Roman" w:cs="Times New Roman"/>
          <w:sz w:val="28"/>
          <w:szCs w:val="28"/>
        </w:rPr>
        <w:t>И.п</w:t>
      </w:r>
      <w:proofErr w:type="spellEnd"/>
      <w:r w:rsidRPr="00BE3B2F">
        <w:rPr>
          <w:rFonts w:ascii="Times New Roman" w:hAnsi="Times New Roman" w:cs="Times New Roman"/>
          <w:sz w:val="28"/>
          <w:szCs w:val="28"/>
        </w:rPr>
        <w:t xml:space="preserve">. – игрок в зоне подачи спиной к сетке. После подброса мяча повернуться лицом к сетке и выполнить подачу в цель.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Серия подач на точность после имитации блокирования в зонах 3 и 2, имитации приема мяча с падением.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Подача на точность после серии приемов мяча в защите.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Серия подач на точность после челночного бега.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Подача на точность, затем перемещение в зону 5 и прием мяча в защите от игрока зоны 4. Перемещение в зону 1 – прием мяча в защите от игрока зоны 2. Перемещение в зону 6 – прием мяча в защите от игрока зоны 3 и снова на подачу. </w:t>
      </w:r>
    </w:p>
    <w:p w:rsidR="00B96580" w:rsidRPr="00BE3B2F" w:rsidRDefault="00B96580" w:rsidP="00B96580">
      <w:pPr>
        <w:numPr>
          <w:ilvl w:val="1"/>
          <w:numId w:val="4"/>
        </w:numPr>
        <w:tabs>
          <w:tab w:val="left" w:pos="851"/>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Серия подач на точность – планирующая, силовая (чередовать виды и способы подач). </w:t>
      </w:r>
    </w:p>
    <w:p w:rsidR="00B96580" w:rsidRPr="00BE3B2F" w:rsidRDefault="00B96580" w:rsidP="00B96580">
      <w:pPr>
        <w:pStyle w:val="a4"/>
        <w:numPr>
          <w:ilvl w:val="1"/>
          <w:numId w:val="4"/>
        </w:numPr>
        <w:tabs>
          <w:tab w:val="left" w:pos="851"/>
          <w:tab w:val="left" w:pos="993"/>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Односторонняя игра (подача одной команды). </w:t>
      </w:r>
    </w:p>
    <w:p w:rsidR="00B96580" w:rsidRPr="00BE3B2F" w:rsidRDefault="00B96580" w:rsidP="00B96580">
      <w:pPr>
        <w:pStyle w:val="2"/>
        <w:spacing w:before="0" w:line="240" w:lineRule="auto"/>
        <w:ind w:left="14" w:firstLine="709"/>
        <w:jc w:val="both"/>
        <w:rPr>
          <w:rFonts w:ascii="Times New Roman" w:hAnsi="Times New Roman" w:cs="Times New Roman"/>
          <w:color w:val="auto"/>
          <w:sz w:val="28"/>
          <w:szCs w:val="28"/>
        </w:rPr>
      </w:pPr>
      <w:bookmarkStart w:id="2" w:name="_Toc95513"/>
      <w:r w:rsidRPr="00BE3B2F">
        <w:rPr>
          <w:rFonts w:ascii="Times New Roman" w:hAnsi="Times New Roman" w:cs="Times New Roman"/>
          <w:color w:val="auto"/>
          <w:sz w:val="28"/>
          <w:szCs w:val="28"/>
        </w:rPr>
        <w:t>Совершенствование техники приема подач.</w:t>
      </w:r>
      <w:bookmarkEnd w:id="2"/>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Прием подач является средством тактической подготовки нападающих ударов и должен соответствовать по направлению, длине и высоте особенностям расположения игроков на площадке и выбранного стиля игры. Прием подач всегда увязан с атакой и поэтому посылаемый связующему или атакующему игроку мяч должен быть легко обрабатываем, то есть должна быть точная посылка мяча в намеченную точку. Почти все команды используют основной способ приема подач в современной игре – прием мяча снизу двумя руками.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 приемом мяча необходимо сосредоточиться, расслабить мышцы туловища, принять исходное положение для приема подачи, постоянно переступая ногами, определить способ подачи и возможную траекторию </w:t>
      </w:r>
      <w:r w:rsidRPr="00BE3B2F">
        <w:rPr>
          <w:rFonts w:ascii="Times New Roman" w:hAnsi="Times New Roman" w:cs="Times New Roman"/>
          <w:sz w:val="28"/>
          <w:szCs w:val="28"/>
        </w:rPr>
        <w:lastRenderedPageBreak/>
        <w:t xml:space="preserve">полета мяча, не дергаться преждевременно и не бросаться в последний момент к мячу.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Действия каждого игрока должны быть связаны с определенным пространством. Пределы этого пространства должен знать каждый игрок. </w:t>
      </w:r>
    </w:p>
    <w:p w:rsidR="00B96580" w:rsidRPr="00BE3B2F" w:rsidRDefault="00B96580" w:rsidP="00B96580">
      <w:pPr>
        <w:spacing w:after="0" w:line="240" w:lineRule="auto"/>
        <w:ind w:left="206"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 выборе наиболее удачного исходного положения следует иметь в виду, что перемещение бегом вперед быстрее перемещения бегом назад. </w:t>
      </w:r>
    </w:p>
    <w:p w:rsidR="00B96580" w:rsidRPr="00BE3B2F" w:rsidRDefault="00B96580" w:rsidP="00B96580">
      <w:pPr>
        <w:spacing w:after="0" w:line="240" w:lineRule="auto"/>
        <w:ind w:left="202"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Принимающий игрок непременно должен стремиться к приему двумя руками. </w:t>
      </w:r>
    </w:p>
    <w:p w:rsidR="00B96580" w:rsidRPr="00BE3B2F" w:rsidRDefault="00B96580" w:rsidP="00B96580">
      <w:pPr>
        <w:spacing w:after="0" w:line="240" w:lineRule="auto"/>
        <w:ind w:firstLine="709"/>
        <w:jc w:val="both"/>
        <w:rPr>
          <w:rFonts w:ascii="Times New Roman" w:hAnsi="Times New Roman" w:cs="Times New Roman"/>
          <w:sz w:val="28"/>
          <w:szCs w:val="28"/>
        </w:rPr>
      </w:pPr>
      <w:r w:rsidRPr="00BE3B2F">
        <w:rPr>
          <w:rFonts w:ascii="Times New Roman" w:hAnsi="Times New Roman" w:cs="Times New Roman"/>
          <w:b/>
          <w:i/>
          <w:sz w:val="28"/>
          <w:szCs w:val="28"/>
        </w:rPr>
        <w:t xml:space="preserve">Примерные упражнения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Подача в стену – прием (расстояние от стены 9 – 12 м).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Подача в парах через сетку (один подает, другой принимает над собой и подача в первого).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 в центре площадки спиной к сетке. По сигналу на подачу мяча поворачивается лицом к сетке, принимает мяч и направляет в цель.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Четверо – пятеро игроков располагаются в шеренге у сетки, лицом к подающим подачи игрокам. Подача в зону 5. После подброса мяча для подачи левофланговый игрок у сетки быстро перемещается в зону 5 и принимает мяч, после чего встает в шеренгу справа.</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i/>
          <w:sz w:val="28"/>
          <w:szCs w:val="28"/>
        </w:rPr>
        <w:t xml:space="preserve">Вариант: </w:t>
      </w:r>
      <w:r w:rsidRPr="00BE3B2F">
        <w:rPr>
          <w:rFonts w:ascii="Times New Roman" w:hAnsi="Times New Roman" w:cs="Times New Roman"/>
          <w:sz w:val="28"/>
          <w:szCs w:val="28"/>
        </w:rPr>
        <w:t xml:space="preserve">прием подачи на левофлангового игрока у сетки, тот выполняет передачу для нападающего удара за линию нападения игроку, который принимает подачу, и тот атакует.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расположение принимающих подачу игроков в левой стороне площадки и подача в зону 1 </w:t>
      </w:r>
      <w:r w:rsidRPr="00BE3B2F">
        <w:rPr>
          <w:rFonts w:ascii="Times New Roman" w:hAnsi="Times New Roman" w:cs="Times New Roman"/>
          <w:i/>
          <w:sz w:val="28"/>
          <w:szCs w:val="28"/>
        </w:rPr>
        <w:t xml:space="preserve">(вариант: в </w:t>
      </w:r>
      <w:r w:rsidRPr="00BE3B2F">
        <w:rPr>
          <w:rFonts w:ascii="Times New Roman" w:hAnsi="Times New Roman" w:cs="Times New Roman"/>
          <w:sz w:val="28"/>
          <w:szCs w:val="28"/>
        </w:rPr>
        <w:t xml:space="preserve">любую зону).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Прием мяча двумя (тремя) игроками. После каждого приема смена зон.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Прием мяча двумя парами игроков. Синхронная подача из зоны 1 в зону 5 и из зоны 5 в зону 1. После приема мяча пара отходит за лицевую линию.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Принимает подачу другая пара. На следующую попытку в парах – смена зон.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Прием мяча двумя игроками после кувырка и смены зон (кувырок – прием – смена зон). </w:t>
      </w:r>
    </w:p>
    <w:p w:rsidR="00B96580" w:rsidRPr="00BE3B2F" w:rsidRDefault="00B96580" w:rsidP="00B96580">
      <w:pPr>
        <w:numPr>
          <w:ilvl w:val="0"/>
          <w:numId w:val="5"/>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Прием мяча двумя (тремя) игроками. После приема рывок до сетки и возвращение на исходную позицию. </w:t>
      </w:r>
    </w:p>
    <w:p w:rsidR="00B96580" w:rsidRPr="00BE3B2F" w:rsidRDefault="00B96580" w:rsidP="00B96580">
      <w:pPr>
        <w:numPr>
          <w:ilvl w:val="0"/>
          <w:numId w:val="5"/>
        </w:num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Прием подач на закрытой сетке (после приема – смена зон). </w:t>
      </w:r>
    </w:p>
    <w:p w:rsidR="00B96580" w:rsidRPr="00BE3B2F" w:rsidRDefault="00B96580" w:rsidP="00B96580">
      <w:pPr>
        <w:numPr>
          <w:ilvl w:val="0"/>
          <w:numId w:val="5"/>
        </w:num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Две пары игроков у сетки в зонах 4 и 2 лицом к сетке. После подброса мяча подающим одна пара спортсменов быстро перемещается в зоны 1 и 5 и принимает подачу. </w:t>
      </w:r>
    </w:p>
    <w:p w:rsidR="00B96580" w:rsidRPr="00BE3B2F" w:rsidRDefault="00B96580" w:rsidP="00B96580">
      <w:pPr>
        <w:tabs>
          <w:tab w:val="left" w:pos="1134"/>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i/>
          <w:sz w:val="28"/>
          <w:szCs w:val="28"/>
        </w:rPr>
        <w:t xml:space="preserve">Вариант: </w:t>
      </w:r>
      <w:r w:rsidRPr="00BE3B2F">
        <w:rPr>
          <w:rFonts w:ascii="Times New Roman" w:hAnsi="Times New Roman" w:cs="Times New Roman"/>
          <w:sz w:val="28"/>
          <w:szCs w:val="28"/>
        </w:rPr>
        <w:t xml:space="preserve">синхронная подача из зон 1 и 5. </w:t>
      </w:r>
    </w:p>
    <w:p w:rsidR="00B96580" w:rsidRPr="00BE3B2F" w:rsidRDefault="00B96580" w:rsidP="00B96580">
      <w:pPr>
        <w:numPr>
          <w:ilvl w:val="0"/>
          <w:numId w:val="5"/>
        </w:num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 (2 – 3 игрока) жонглирует мячом в 6 – 7 м от сетки. </w:t>
      </w:r>
    </w:p>
    <w:p w:rsidR="00B96580" w:rsidRPr="00BE3B2F" w:rsidRDefault="00B96580" w:rsidP="00B96580">
      <w:pPr>
        <w:tabs>
          <w:tab w:val="left" w:pos="1134"/>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 другой стороны площадки производится подача. Принять подачу. </w:t>
      </w:r>
    </w:p>
    <w:p w:rsidR="00B96580" w:rsidRPr="00BE3B2F" w:rsidRDefault="00B96580" w:rsidP="00B96580">
      <w:pPr>
        <w:numPr>
          <w:ilvl w:val="0"/>
          <w:numId w:val="5"/>
        </w:num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Прием подачи в зоне 5 (6, 1) после </w:t>
      </w:r>
      <w:proofErr w:type="spellStart"/>
      <w:r w:rsidRPr="00BE3B2F">
        <w:rPr>
          <w:rFonts w:ascii="Times New Roman" w:hAnsi="Times New Roman" w:cs="Times New Roman"/>
          <w:sz w:val="28"/>
          <w:szCs w:val="28"/>
        </w:rPr>
        <w:t>пробегания</w:t>
      </w:r>
      <w:proofErr w:type="spellEnd"/>
      <w:r w:rsidRPr="00BE3B2F">
        <w:rPr>
          <w:rFonts w:ascii="Times New Roman" w:hAnsi="Times New Roman" w:cs="Times New Roman"/>
          <w:sz w:val="28"/>
          <w:szCs w:val="28"/>
        </w:rPr>
        <w:t xml:space="preserve"> игроком отрезка 12м, </w:t>
      </w:r>
    </w:p>
    <w:p w:rsidR="00B96580" w:rsidRPr="00BE3B2F" w:rsidRDefault="00B96580" w:rsidP="00B96580">
      <w:pPr>
        <w:tabs>
          <w:tab w:val="left" w:pos="1134"/>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стартуя из зоны 1 другой стороны площадки (</w:t>
      </w:r>
      <w:proofErr w:type="spellStart"/>
      <w:r w:rsidRPr="00BE3B2F">
        <w:rPr>
          <w:rFonts w:ascii="Times New Roman" w:hAnsi="Times New Roman" w:cs="Times New Roman"/>
          <w:sz w:val="28"/>
          <w:szCs w:val="28"/>
        </w:rPr>
        <w:t>пробегание</w:t>
      </w:r>
      <w:proofErr w:type="spellEnd"/>
      <w:r w:rsidRPr="00BE3B2F">
        <w:rPr>
          <w:rFonts w:ascii="Times New Roman" w:hAnsi="Times New Roman" w:cs="Times New Roman"/>
          <w:sz w:val="28"/>
          <w:szCs w:val="28"/>
        </w:rPr>
        <w:t xml:space="preserve"> за пределами площадки). </w:t>
      </w:r>
    </w:p>
    <w:p w:rsidR="00B96580" w:rsidRPr="00BE3B2F" w:rsidRDefault="00B96580" w:rsidP="00B96580">
      <w:pPr>
        <w:numPr>
          <w:ilvl w:val="0"/>
          <w:numId w:val="5"/>
        </w:num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lastRenderedPageBreak/>
        <w:t xml:space="preserve">Прием подач в расстановке команды. </w:t>
      </w:r>
    </w:p>
    <w:p w:rsidR="00B96580" w:rsidRPr="00BE3B2F" w:rsidRDefault="00B96580" w:rsidP="00B96580">
      <w:pPr>
        <w:tabs>
          <w:tab w:val="left" w:pos="1134"/>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i/>
          <w:sz w:val="28"/>
          <w:szCs w:val="28"/>
        </w:rPr>
        <w:t xml:space="preserve">Примечание: </w:t>
      </w:r>
      <w:r w:rsidRPr="00BE3B2F">
        <w:rPr>
          <w:rFonts w:ascii="Times New Roman" w:hAnsi="Times New Roman" w:cs="Times New Roman"/>
          <w:sz w:val="28"/>
          <w:szCs w:val="28"/>
        </w:rPr>
        <w:t xml:space="preserve">в каждом упражнении прием мяча в зону нападения по заданию, или на связующего игрока, или в целевые точки. </w:t>
      </w:r>
    </w:p>
    <w:p w:rsidR="00B96580" w:rsidRPr="00BE3B2F" w:rsidRDefault="00B96580" w:rsidP="00B96580">
      <w:pPr>
        <w:spacing w:after="0" w:line="240" w:lineRule="auto"/>
        <w:ind w:left="10" w:firstLine="709"/>
        <w:jc w:val="both"/>
        <w:rPr>
          <w:rFonts w:ascii="Times New Roman" w:hAnsi="Times New Roman" w:cs="Times New Roman"/>
          <w:sz w:val="28"/>
          <w:szCs w:val="28"/>
        </w:rPr>
      </w:pPr>
      <w:r w:rsidRPr="00BE3B2F">
        <w:rPr>
          <w:rFonts w:ascii="Times New Roman" w:hAnsi="Times New Roman" w:cs="Times New Roman"/>
          <w:b/>
          <w:i/>
          <w:sz w:val="28"/>
          <w:szCs w:val="28"/>
        </w:rPr>
        <w:t xml:space="preserve">Примерные упражнения для совершенствования подач и приема подач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Два игрока составляют одну команду. Каждый должен подать в своего партнера 20 подач. Его партнер принимает 10 подач в зоне 1 и 10 подач в зоне 5.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Играют на счет, кто победит.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Можно разрешить подающему игроку одну – две ошибки, не более.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 одному принимающему игроку в зонах 1, 6, 5 и по два – три игрока на подаче в зоне 1.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 Силовая подача в любую зону площадки, после приема которой, один из партнеров должен выполнить передачу для атаки.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Игроки меняются зонами по времени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Три игрока составляют одну команду. Два игрока становятся за боковыми линиями площадки лицом друг к другу, а третий посередине между ними, спиной к игроку, владеющему мячом.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 Игрок, владеющий мячом, выполняет подачу через всю площадку в партнера, который направляет этот мяч игроку, стоящему в центре площадки, а он нападающим ударом направляет мяч принимавшему подачу игроку и, получив снова от него мяч, пасом через голову направляет мяч выполнявшему подачу игроку.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Смена игроков после серии подач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На двух площадках по одному игроку в зонах 1 и 5. По три – четыре игрока с мячами в зонах 1 на подаче.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Задача подающих – выиграть очко или заставить принимающих сделать ошибку. Тот из подающих, кто сумел это сделать, занимает место проигравшего.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Две пары игроков на каждой площадке, одна из них стоит в ауте, и группы игроков на подаче с мячами.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 Первая пара игроков принимает подачу и, если она это сделала хорошо, то остается принимать следующую подачу. Но если прием подачи был плохой, то партнер своим пасом может исправить ошибку принимающего, если выполнит очень хороший пас для атаки. Если этого не получилось, или пара проиграла очко, то она уступает место другой паре игроков.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Оценивает действия игроков тренер. Право на исправление плохого приема подачи можно дать два раза.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 с мячом стоит у стены в трех – четырех метрах от нее. Ударом в пол направить мяч в стенку так, чтобы он отлетел на 3 – 4 метра за голову игрока, который, переместившись, выполняет прием подачи перед собой. Можно делать упражнение без удара в пол.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самое, но встать далеко от стенки, метров на 8 – 9, и, направляя несильным ударом мяч в стенку, выйти вперед и принять подачу.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lastRenderedPageBreak/>
        <w:t xml:space="preserve">Рекомендуется для отработки перемещений при приеме подачи.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Игроки разбиваются на пары. Один из них подает, другой принимает. Принимающие стоят в зонах 1, 6, 5 в колоннах, не мешая друг другу. Подающие в зону 1 стоят в зоне 5, в зону 6 – в зоне 6, в зону 5 – в зоне 1 на другой площадке.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 Принимающий игрок стоит в районе лицевой линии. Подающий подает укороченную подачу, которую надо принять точно в зону 2 или 3 по заданию. </w:t>
      </w:r>
    </w:p>
    <w:p w:rsidR="00B96580" w:rsidRPr="00BE3B2F" w:rsidRDefault="00B96580" w:rsidP="00B96580">
      <w:pPr>
        <w:numPr>
          <w:ilvl w:val="0"/>
          <w:numId w:val="6"/>
        </w:numPr>
        <w:tabs>
          <w:tab w:val="left" w:pos="993"/>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самое, только принимающие стоят на линии нападения, а подающие подают в 9-й метр площадки.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Хорошее упражнение для отработки перемещений при приеме подачи.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Смена игроков после определенного количества подач. </w:t>
      </w:r>
    </w:p>
    <w:p w:rsidR="00B96580" w:rsidRPr="00BE3B2F" w:rsidRDefault="00B96580" w:rsidP="00B96580">
      <w:pPr>
        <w:tabs>
          <w:tab w:val="left" w:pos="993"/>
        </w:tabs>
        <w:spacing w:after="0" w:line="240" w:lineRule="auto"/>
        <w:ind w:left="9" w:right="7" w:firstLine="709"/>
        <w:jc w:val="both"/>
        <w:rPr>
          <w:rFonts w:ascii="Times New Roman" w:hAnsi="Times New Roman" w:cs="Times New Roman"/>
          <w:sz w:val="28"/>
          <w:szCs w:val="28"/>
        </w:rPr>
      </w:pPr>
    </w:p>
    <w:p w:rsidR="00B96580" w:rsidRPr="00BE3B2F" w:rsidRDefault="00B96580" w:rsidP="00B96580">
      <w:pPr>
        <w:pStyle w:val="2"/>
        <w:tabs>
          <w:tab w:val="left" w:pos="1560"/>
        </w:tabs>
        <w:spacing w:before="0" w:line="240" w:lineRule="auto"/>
        <w:ind w:left="14" w:right="1" w:firstLine="709"/>
        <w:jc w:val="both"/>
        <w:rPr>
          <w:rFonts w:ascii="Times New Roman" w:hAnsi="Times New Roman" w:cs="Times New Roman"/>
          <w:color w:val="auto"/>
          <w:sz w:val="28"/>
          <w:szCs w:val="28"/>
        </w:rPr>
      </w:pPr>
      <w:bookmarkStart w:id="3" w:name="_Toc95514"/>
      <w:r w:rsidRPr="00BE3B2F">
        <w:rPr>
          <w:rFonts w:ascii="Times New Roman" w:hAnsi="Times New Roman" w:cs="Times New Roman"/>
          <w:color w:val="auto"/>
          <w:sz w:val="28"/>
          <w:szCs w:val="28"/>
        </w:rPr>
        <w:t>Совершенствование техники передач для нападающего удара.</w:t>
      </w:r>
      <w:bookmarkEnd w:id="3"/>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Вторые передачи должны соответствовать (по направлению, длине, высоте, скорости) индивидуальным особенностям нападающих игроков и являются важным средством подготовки атаки. Темп атак регулирует связующий игрок. </w:t>
      </w:r>
    </w:p>
    <w:p w:rsidR="00B96580" w:rsidRPr="00BE3B2F" w:rsidRDefault="00B96580" w:rsidP="00B96580">
      <w:pPr>
        <w:spacing w:after="0" w:line="240" w:lineRule="auto"/>
        <w:ind w:left="9"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В практике волейбола, в основном, применяются передачи вперед, за голову, передачи боком к сетке, в прыжке. </w:t>
      </w:r>
    </w:p>
    <w:p w:rsidR="00B96580" w:rsidRPr="00BE3B2F" w:rsidRDefault="00B96580" w:rsidP="00B96580">
      <w:pPr>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Точность передачи обеспечивается: </w:t>
      </w:r>
    </w:p>
    <w:p w:rsidR="00B96580" w:rsidRPr="00BE3B2F" w:rsidRDefault="00B96580" w:rsidP="00B96580">
      <w:pPr>
        <w:pStyle w:val="a4"/>
        <w:numPr>
          <w:ilvl w:val="0"/>
          <w:numId w:val="17"/>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мягкими, гибкими движениями рук, ног (ни на одной стадии движение не затухает); </w:t>
      </w:r>
    </w:p>
    <w:p w:rsidR="00B96580" w:rsidRPr="00BE3B2F" w:rsidRDefault="00B96580" w:rsidP="00B96580">
      <w:pPr>
        <w:pStyle w:val="a4"/>
        <w:numPr>
          <w:ilvl w:val="0"/>
          <w:numId w:val="17"/>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мгновенной реакцией на мяч; </w:t>
      </w:r>
    </w:p>
    <w:p w:rsidR="00B96580" w:rsidRPr="00BE3B2F" w:rsidRDefault="00B96580" w:rsidP="00B96580">
      <w:pPr>
        <w:pStyle w:val="a4"/>
        <w:numPr>
          <w:ilvl w:val="0"/>
          <w:numId w:val="17"/>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хорошей ориентировкой и поворотом к цели; </w:t>
      </w:r>
    </w:p>
    <w:p w:rsidR="00B96580" w:rsidRPr="00BE3B2F" w:rsidRDefault="00B96580" w:rsidP="00B96580">
      <w:pPr>
        <w:pStyle w:val="a4"/>
        <w:numPr>
          <w:ilvl w:val="0"/>
          <w:numId w:val="17"/>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варьированием подвижности рук и ног соответственно дальности, скорости и высоте передачи; </w:t>
      </w:r>
    </w:p>
    <w:p w:rsidR="00B96580" w:rsidRPr="00BE3B2F" w:rsidRDefault="00B96580" w:rsidP="00B96580">
      <w:pPr>
        <w:pStyle w:val="a4"/>
        <w:numPr>
          <w:ilvl w:val="0"/>
          <w:numId w:val="17"/>
        </w:numPr>
        <w:tabs>
          <w:tab w:val="left" w:pos="851"/>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активным движением пальцев и кистей рук на мяче. </w:t>
      </w:r>
    </w:p>
    <w:p w:rsidR="00B96580" w:rsidRPr="00BE3B2F" w:rsidRDefault="00B96580" w:rsidP="00B96580">
      <w:pPr>
        <w:spacing w:after="0" w:line="240" w:lineRule="auto"/>
        <w:ind w:left="-15"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Основу совершенствования второй передачи составляют упражнения, выполняемые в стандартных и усложненных условиях с целевой установкой и с выполнением специфических заданий: </w:t>
      </w:r>
    </w:p>
    <w:p w:rsidR="00B96580" w:rsidRPr="00BE3B2F" w:rsidRDefault="00B96580" w:rsidP="00B96580">
      <w:pPr>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а) передача по мишени у сетки (в зоне нападения); </w:t>
      </w:r>
    </w:p>
    <w:p w:rsidR="00B96580" w:rsidRPr="00BE3B2F" w:rsidRDefault="00B96580" w:rsidP="00B96580">
      <w:pPr>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б) упражнения с нападающим игроком (игроками); </w:t>
      </w:r>
    </w:p>
    <w:p w:rsidR="00B96580" w:rsidRPr="00BE3B2F" w:rsidRDefault="00B96580" w:rsidP="00B96580">
      <w:pPr>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в) упражнения с приемом подач, с нападающим игроком (игроками), с блоком.</w:t>
      </w:r>
    </w:p>
    <w:p w:rsidR="00B96580" w:rsidRPr="00BE3B2F" w:rsidRDefault="00B96580" w:rsidP="00B96580">
      <w:pPr>
        <w:tabs>
          <w:tab w:val="left" w:pos="993"/>
        </w:tabs>
        <w:spacing w:after="0" w:line="240" w:lineRule="auto"/>
        <w:ind w:firstLine="709"/>
        <w:jc w:val="both"/>
        <w:rPr>
          <w:rFonts w:ascii="Times New Roman" w:hAnsi="Times New Roman" w:cs="Times New Roman"/>
          <w:sz w:val="28"/>
          <w:szCs w:val="28"/>
        </w:rPr>
      </w:pPr>
      <w:r w:rsidRPr="00BE3B2F">
        <w:rPr>
          <w:rFonts w:ascii="Times New Roman" w:hAnsi="Times New Roman" w:cs="Times New Roman"/>
          <w:b/>
          <w:i/>
          <w:sz w:val="28"/>
          <w:szCs w:val="28"/>
        </w:rPr>
        <w:t>Примерные упражнения</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Передача в мишень (вертикальное или горизонтальное кольцо на стойке диаметром до 70 см) из зон 3 и 2 в зону 4 после передачи над собой. </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мишень в зоне 2 (передача из зон 4 и 3). </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мяч адресуется связующему игроку из зоны 6 ассистентом после приема подачи. </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передача в мишень из глубины площадки. </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после перемещения связующего игрока к месту встречи с мячом (прием мяча не точный). </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lastRenderedPageBreak/>
        <w:t xml:space="preserve">Передачи в мишени на стене с расстояния 3 – 5 м от стены (три мишени диаметром 50 см расположены вертикально друг над другом – 1-я на высоте 5 м, 2-я на высоте 4 м, 3-я на высоте 3 м от пола). </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3 – 4 мишени расположены горизонтально на высоте 3 – 4 м от пола. </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Передача нападающему игроку в зависимости от скорости и направления разбега (первая передача от игрока зоны 6). </w:t>
      </w:r>
    </w:p>
    <w:p w:rsidR="00B96580" w:rsidRPr="00BE3B2F" w:rsidRDefault="00B96580" w:rsidP="00B96580">
      <w:pPr>
        <w:numPr>
          <w:ilvl w:val="1"/>
          <w:numId w:val="7"/>
        </w:numPr>
        <w:tabs>
          <w:tab w:val="left" w:pos="993"/>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в прыжке после имитации нападающего удара.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Передача из зон 2, 3, 4 вперед, назад, боком к сетке, в прыжке в различные зоны с различными траекториями полета мяча (первая передача от игрока зоны 6 или после приема подачи).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 зоны 4 бьет мяч в игрока зоны 6 – прием мяча в зону выхода связующего игрока и передача для нападающего удара игроку зоны 2 или 4.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Нападающий удар со стороны «А» в зону 1, со стороны «Б» – прием мяча связующим игроком. Игрок зоны 6 бросает мяч в зону выхода – передача мяча для нападающего удара в зону 4. Действия игроков на стороне «А» такие же, что на стороне «Б».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i/>
          <w:sz w:val="28"/>
          <w:szCs w:val="28"/>
        </w:rPr>
        <w:t xml:space="preserve">Вариант: </w:t>
      </w:r>
      <w:r w:rsidRPr="00BE3B2F">
        <w:rPr>
          <w:rFonts w:ascii="Times New Roman" w:hAnsi="Times New Roman" w:cs="Times New Roman"/>
          <w:sz w:val="28"/>
          <w:szCs w:val="28"/>
        </w:rPr>
        <w:t xml:space="preserve">связующий игрок блокирует атаку и выполняет передачу из глубины площадки.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 зоны 6 направляет мяч связующему, который чередует передачи для атаки в зоны 4 и 2, игроки этих зон несильным ударом направляют мяч через сетку в зоны 1 или 5. Игроки этих зон принимают мяч в зону 6. Все игроки меняются местами.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Тренер посылает мяч через сетку игроку зоны 4 (3, 2), который принимает мяч в зону выхода связующего игрока. Связующий выполняет передачу в зону 4 (3, 2) для атаки. После атаки – повторение задания.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с розыгрышем комбинаций в нападении.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против блока.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Нападающий удар из зоны 4 стороны «А», пасующий на стороне «Б» ставит блок. После приземления ему набрасывает мяч игрок зоны 4 на 3 м от сетки. Передача на удар, пасующий на стороне «А» ставит блок и т.д.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Нападающий удар с собственного подброса со стороны «А». На стороне «Б» – прием мяча на пасующего, который выполняет передачу игроку 6 для атаки. Нападающий игрок стороны «А» ставит блок.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Прием подач </w:t>
      </w:r>
      <w:proofErr w:type="spellStart"/>
      <w:r w:rsidRPr="00BE3B2F">
        <w:rPr>
          <w:rFonts w:ascii="Times New Roman" w:hAnsi="Times New Roman" w:cs="Times New Roman"/>
          <w:sz w:val="28"/>
          <w:szCs w:val="28"/>
        </w:rPr>
        <w:t>напасующего</w:t>
      </w:r>
      <w:proofErr w:type="spellEnd"/>
      <w:r w:rsidRPr="00BE3B2F">
        <w:rPr>
          <w:rFonts w:ascii="Times New Roman" w:hAnsi="Times New Roman" w:cs="Times New Roman"/>
          <w:sz w:val="28"/>
          <w:szCs w:val="28"/>
        </w:rPr>
        <w:t xml:space="preserve"> между зонами 2 и 3 – розыгрыш комбинаций, после чего тренер набрасывает 2 – 3 мяча на линию нападения, которые пасующий должен принять и занять исходную позицию для выхода из зоны 1.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 одному игроку в зонах 4, 2, один пасующий в зоне 3 и три игрока в зоне 6 на площадке «Б». На площадке «А» блокирующий в 3 зоне.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Пас из зоны 6 в зону 3 пасующему, куда идет игрок зоны 6 первым темпом на взлет. Если блокирующий прыгнул в зоне 3, то задача пасующего отдать пас в зоны 4 или 2, игроки которых нападают через сетку. Если </w:t>
      </w:r>
      <w:r w:rsidRPr="00BE3B2F">
        <w:rPr>
          <w:rFonts w:ascii="Times New Roman" w:hAnsi="Times New Roman" w:cs="Times New Roman"/>
          <w:sz w:val="28"/>
          <w:szCs w:val="28"/>
        </w:rPr>
        <w:lastRenderedPageBreak/>
        <w:t xml:space="preserve">блокирующий не прыгнул в зоне 3, тогда надо дать пас в зоне 3 игроку зоны 6, который тоже нападает.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Блокирующий ставит блок на каждую передачу.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Пасующий, нападающие и блокирующие меняются после серии передач.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На двух площадках одинаковая по одному игроку в зонах 2 и 4 и по три – четыре игрока в зоне 1.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Передача снизу из зоны 1 в зону 2 (игрок зоны 1 идет после передачи в зону 4), из зоны 2 передача на удар в зону 4 (игрок зоны 2 идет в зону 1), из зоны 4 пасом снизу или легким ударом мяч направляется в зону 1 (игрок зоны 4 идет в зону 2) и т. д. То же, но направление передачи 5 – 4 – 2 – 5, из зоны 5 в зону 4 передача на удар, а из зоны 4 в зону 2 передача в прыжке, желательно с имитацией нападающего удара.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 одному игроку в зонах 2 и 4 и три – четыре игрока в 6 зоне. Построение аналогичное по обе стороны сетки.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Передача снизу из зоны 6 в зону 2, из зоны 2 в зону 4 пас на удар, из зоны 4 удар через сетку в зону б на другую сторону площадки, где все повторяется.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направление передачи 6 – 4 – 2.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направление передачи 6 – 3 – 2, игрок зоны 3 пасует за голову.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То же, но направление передачи 6 – 3 – 4, игрок зоны 3 пасует за голову.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 одному игроку в зоне 2 (4) и три – четыре игрока с мячами в зоне 6 по обе стороны сетки.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Передача из зоны 6 в зону 2 на удар. Если игрок зоны 2 пасует в прыжке, то игрок зоны 6 идет в зону 3 и нападает в зону 5. Если игрок зоны 2 пасует стоя, то игрок зоны 6 идет в зону 2 (т. е. за голову игрока зоны 2) и тоже нападает в зону 5. Смена игроков: нападавший идет пасовать, а пасующий отправляется на другую сторону сетки и становится нападающим.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 три – четыре игрока в колоннах в зонах 2 и 4 за линией нападения.  Передача из зоны 4 для атаки в зону 2, оттуда передача в зону 3 тоже для атаки, на которую выходит игрок зоны 4 и в прыжке отправляет мяч снова в зону 2 тому же игроку, от которого получил передачу, а тот пасует в зону 4 и т. д. Каждый игрок до смены мест касается мяча дважды.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Смена мест в противоположные колонны. То же в другую сторону.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 одному игроку в зонах 3 и 2 и три – четыре игрока в зоне 4. В каждой зоне один мяч.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 сигналу тренера все игроки, у которых мяч, делают высокую передачу над собой так, чтобы к нему успел игрок другой зоны. Перемещение из зоны 4 в зоны 3 и 2. То же в другую сторону.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Три – четыре игрока в зоне 2 за линией нападения, один игрок в зоне 4.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Тренер с мячами в зоне 6.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lastRenderedPageBreak/>
        <w:t xml:space="preserve">Тренер бросает мяч к сетке, имитируя прием подачи, на который по очереди выходят игроки зоны 2 и выполняют передачу на удар в зону 4. Игрок зоны 4 ловит мяч и передает его тренеру и т. д.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Смена по ходу передачи. То же, но игроки в зоне 4, а передача в зону 2. То же, но игроки в зоне 3, а передача за голову в зоны 2 и 4. После передачи имитация страховки своего нападающего.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Два – три игрока в зоне 1 ближе к боковой линии, по одному игроку в зонах 4, 3, 2. Аналогичное построение на другой стороне площадки.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Из зоны 1 передача на удар в зону 3. Игрок зоны 3 выполняет передачу в прыжке в зону 2 или за голову в зону 4, откуда мяч передачей снизу снова направляется в зону 1. Передачу в прыжке регулярно посылать в зоны 2 и 4.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 выходящий в зону 3, каждый раз должен пасовать в другую зону и, приземлившись после передачи, обозначить страховку своего нападающего.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Один игрок в зоне 3 с мячом, три – четыре игрока в зоне 2 (4) за линией нападения.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Пас из зоны 3 в зону 2 (4) для удара, на который выходит в порядке очередности один из игроков зоны 2 (4) и делает передачу в прыжке снова игроку зоны 3 и т. д.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 одному игроку в зонах 4 и 2, три – четыре игрока в зоне 3 за линией атаки. Аналогичное построение по другую сторону сетки.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Передача из зоны 4 в зону 3, на которую выходит игрок зоны 3 и выполняет передачу за голову в зону 2, оттуда передача в зону 4 и т.д.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Смена игроков только в колонне зоны 3 между собой.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У пары игроков два мяча: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а) пасуют друг другу только сверху одновременно два мяча,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б) пасуют друг другу только снизу,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в) игрок, стоящий на лицевой линии, пасует только снизу; игрок, стоящий у сетки, – только сверху.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У пары игроков один мяч.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Дать передачу партнеру, после чего быстро выполнить один из видов падений, встать и снова передача мячом, полученным от партнера.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У каждого игрока, стоящего у стены, мяч.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Передача в стену, сесть на пол, снова передача, быстро встать и снова передача в стенку и т. д. Можно добавить один из видов падений.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У каждого игрока, находящегося в низком приседе у стены, мяч.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Передачи мяча сверху в стенку в такой стойке на время (20 – 30 сек.). При отсутствии стенки – ударами в пол, но это делать легче, поэтому продолжительность упражнения надо увеличить.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Команда делится на две равные группы и становится в зоны 1 (5). У каждого мяч. Расстановка одинаковая по обе стороны сетки.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Ударом в пол направить мяч к сетке в зону 2 (4), догнать его, способом снизу подбить над собой и сделать передачу в зону 4 (2), переместиться за мячом и постараться его поймать. Можно добавить игрока без мяча в зону 4 (2), который легким атакующим ударом направляет мяч в зону 6, куда вышел </w:t>
      </w:r>
      <w:r w:rsidRPr="00BE3B2F">
        <w:rPr>
          <w:rFonts w:ascii="Times New Roman" w:hAnsi="Times New Roman" w:cs="Times New Roman"/>
          <w:sz w:val="28"/>
          <w:szCs w:val="28"/>
        </w:rPr>
        <w:lastRenderedPageBreak/>
        <w:t xml:space="preserve">игрок, сделавший передачу из зоны 2 (4), обозначая страховку своего нападающего. Можно выполнять передачу в прыжке, можно исключить прием снизу в зоне 2 (4).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Можно мяч направлять к сетке не ударом в пол, а передачей снизу.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Команда делится на две группы и становится в зоны 6 по обе стороны сетки, у каждого мяч.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Ударом в пол направить мяч к сетке в зону 3, догнать его, передача снизу над собой и передача за голову в зону 2 или 4. Все усложнения – из предыдущего упражнения. </w:t>
      </w:r>
    </w:p>
    <w:p w:rsidR="00B96580" w:rsidRPr="00BE3B2F" w:rsidRDefault="00B96580" w:rsidP="00B96580">
      <w:pPr>
        <w:numPr>
          <w:ilvl w:val="1"/>
          <w:numId w:val="7"/>
        </w:numPr>
        <w:tabs>
          <w:tab w:val="left" w:pos="1134"/>
        </w:tabs>
        <w:spacing w:after="0" w:line="240" w:lineRule="auto"/>
        <w:ind w:left="0"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Игроки стоят в зоне 1 (5) метрах в 7 – 8 от сетки, ближе к боковой линии, у каждого мяч.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r w:rsidRPr="00BE3B2F">
        <w:rPr>
          <w:rFonts w:ascii="Times New Roman" w:hAnsi="Times New Roman" w:cs="Times New Roman"/>
          <w:sz w:val="28"/>
          <w:szCs w:val="28"/>
        </w:rPr>
        <w:t xml:space="preserve">Подбросить невысоко мяч в зону 2 (4) и после его отскока от пола передача в зону 4 (2). </w:t>
      </w:r>
    </w:p>
    <w:p w:rsidR="00B96580" w:rsidRPr="00BE3B2F" w:rsidRDefault="00B96580" w:rsidP="00B96580">
      <w:pPr>
        <w:tabs>
          <w:tab w:val="left" w:pos="1134"/>
        </w:tabs>
        <w:spacing w:after="0" w:line="240" w:lineRule="auto"/>
        <w:ind w:right="7" w:firstLine="709"/>
        <w:jc w:val="both"/>
        <w:rPr>
          <w:rFonts w:ascii="Times New Roman" w:hAnsi="Times New Roman" w:cs="Times New Roman"/>
          <w:sz w:val="28"/>
          <w:szCs w:val="28"/>
        </w:rPr>
      </w:pPr>
    </w:p>
    <w:bookmarkEnd w:id="0"/>
    <w:p w:rsidR="00125A71" w:rsidRPr="00BE3B2F" w:rsidRDefault="00125A71">
      <w:pPr>
        <w:rPr>
          <w:sz w:val="28"/>
          <w:szCs w:val="28"/>
        </w:rPr>
      </w:pPr>
    </w:p>
    <w:sectPr w:rsidR="00125A71" w:rsidRPr="00BE3B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78A"/>
    <w:multiLevelType w:val="hybridMultilevel"/>
    <w:tmpl w:val="23EC8582"/>
    <w:lvl w:ilvl="0" w:tplc="6F54676C">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729C4FB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087E5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8225B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C069A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0929A9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B0381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14E1B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D4F92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5214A63"/>
    <w:multiLevelType w:val="hybridMultilevel"/>
    <w:tmpl w:val="23805322"/>
    <w:lvl w:ilvl="0" w:tplc="9BDAA350">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7A12904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AA42F5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AFAB83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00204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7241B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0EF72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1305FA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3A583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598178E"/>
    <w:multiLevelType w:val="hybridMultilevel"/>
    <w:tmpl w:val="ABB4BC2A"/>
    <w:lvl w:ilvl="0" w:tplc="1C88D994">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D3150C"/>
    <w:multiLevelType w:val="hybridMultilevel"/>
    <w:tmpl w:val="05CA81C4"/>
    <w:lvl w:ilvl="0" w:tplc="D72E86C8">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2DE76A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B493B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E0911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B0275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DC721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EC6F3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64ED1D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A2DDE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FEC61E8"/>
    <w:multiLevelType w:val="hybridMultilevel"/>
    <w:tmpl w:val="A9720D54"/>
    <w:lvl w:ilvl="0" w:tplc="99D02D12">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FEC569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687C64">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B547BE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CAE76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9CE39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4C2AD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8EE64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CE1F9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2AB40C1"/>
    <w:multiLevelType w:val="hybridMultilevel"/>
    <w:tmpl w:val="0CD23008"/>
    <w:lvl w:ilvl="0" w:tplc="058AE660">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EEE8EBA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DCC0644">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8C476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7D0CF6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E45EF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EC546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04E8D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9AD95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32244D0A"/>
    <w:multiLevelType w:val="hybridMultilevel"/>
    <w:tmpl w:val="81C26780"/>
    <w:lvl w:ilvl="0" w:tplc="1C88D994">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CE7D4B"/>
    <w:multiLevelType w:val="hybridMultilevel"/>
    <w:tmpl w:val="FFFFFFFF"/>
    <w:lvl w:ilvl="0" w:tplc="D4C646D4">
      <w:start w:val="26"/>
      <w:numFmt w:val="decimal"/>
      <w:lvlText w:val="%1."/>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BA16C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206B5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9209D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D8B1D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E4A5C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64AF2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060C2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C46FF7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41423CD4"/>
    <w:multiLevelType w:val="hybridMultilevel"/>
    <w:tmpl w:val="BBDEC4C6"/>
    <w:lvl w:ilvl="0" w:tplc="1C88D994">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C96840"/>
    <w:multiLevelType w:val="hybridMultilevel"/>
    <w:tmpl w:val="44D87FDA"/>
    <w:lvl w:ilvl="0" w:tplc="1C88D994">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54B68D1"/>
    <w:multiLevelType w:val="hybridMultilevel"/>
    <w:tmpl w:val="1670188A"/>
    <w:lvl w:ilvl="0" w:tplc="AA12F28C">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2C3E14">
      <w:start w:val="1"/>
      <w:numFmt w:val="decimal"/>
      <w:lvlText w:val="%2."/>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9E1617FC">
      <w:start w:val="1"/>
      <w:numFmt w:val="lowerRoman"/>
      <w:lvlText w:val="%3"/>
      <w:lvlJc w:val="left"/>
      <w:pPr>
        <w:ind w:left="17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F629B4">
      <w:start w:val="1"/>
      <w:numFmt w:val="decimal"/>
      <w:lvlText w:val="%4"/>
      <w:lvlJc w:val="left"/>
      <w:pPr>
        <w:ind w:left="24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BEF2C2">
      <w:start w:val="1"/>
      <w:numFmt w:val="lowerLetter"/>
      <w:lvlText w:val="%5"/>
      <w:lvlJc w:val="left"/>
      <w:pPr>
        <w:ind w:left="31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061C9A">
      <w:start w:val="1"/>
      <w:numFmt w:val="lowerRoman"/>
      <w:lvlText w:val="%6"/>
      <w:lvlJc w:val="left"/>
      <w:pPr>
        <w:ind w:left="39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381A9C">
      <w:start w:val="1"/>
      <w:numFmt w:val="decimal"/>
      <w:lvlText w:val="%7"/>
      <w:lvlJc w:val="left"/>
      <w:pPr>
        <w:ind w:left="4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F4B410">
      <w:start w:val="1"/>
      <w:numFmt w:val="lowerLetter"/>
      <w:lvlText w:val="%8"/>
      <w:lvlJc w:val="left"/>
      <w:pPr>
        <w:ind w:left="5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A8D198">
      <w:start w:val="1"/>
      <w:numFmt w:val="lowerRoman"/>
      <w:lvlText w:val="%9"/>
      <w:lvlJc w:val="left"/>
      <w:pPr>
        <w:ind w:left="6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557E01A1"/>
    <w:multiLevelType w:val="hybridMultilevel"/>
    <w:tmpl w:val="F8E40C9C"/>
    <w:lvl w:ilvl="0" w:tplc="5E685166">
      <w:start w:val="1"/>
      <w:numFmt w:val="bullet"/>
      <w:lvlText w:val="–"/>
      <w:lvlJc w:val="left"/>
      <w:pPr>
        <w:ind w:left="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3CE82C">
      <w:start w:val="1"/>
      <w:numFmt w:val="decimal"/>
      <w:lvlText w:val="%2."/>
      <w:lvlJc w:val="left"/>
      <w:pPr>
        <w:ind w:left="36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13EFD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34D19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FE296D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A46EF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0AAB3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22FD1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806B41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611096C"/>
    <w:multiLevelType w:val="hybridMultilevel"/>
    <w:tmpl w:val="A3D21FD6"/>
    <w:lvl w:ilvl="0" w:tplc="9DF0672E">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9F6365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56FEC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20F67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A2DFF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9C730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A62A2C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3F260A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94FEC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61FE1841"/>
    <w:multiLevelType w:val="hybridMultilevel"/>
    <w:tmpl w:val="CD303532"/>
    <w:lvl w:ilvl="0" w:tplc="1CCAF164">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93EE39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14228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B2B4D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D4CFF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E2E7D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DAEA7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7ABC6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B2D66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6CA3752C"/>
    <w:multiLevelType w:val="hybridMultilevel"/>
    <w:tmpl w:val="5C824D2A"/>
    <w:lvl w:ilvl="0" w:tplc="C57CBE3A">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CD667F4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DD8ED5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78F8D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DA528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55A657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18EA4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787FD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F6E358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71C31F5D"/>
    <w:multiLevelType w:val="hybridMultilevel"/>
    <w:tmpl w:val="218EBC7E"/>
    <w:lvl w:ilvl="0" w:tplc="E736BD08">
      <w:start w:val="1"/>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82046B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5ADDF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BC4F5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94009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88F0A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BECF4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62FC7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AAA08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789367A7"/>
    <w:multiLevelType w:val="hybridMultilevel"/>
    <w:tmpl w:val="6066876E"/>
    <w:lvl w:ilvl="0" w:tplc="1C88D994">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9"/>
  </w:num>
  <w:num w:numId="4">
    <w:abstractNumId w:val="11"/>
  </w:num>
  <w:num w:numId="5">
    <w:abstractNumId w:val="15"/>
  </w:num>
  <w:num w:numId="6">
    <w:abstractNumId w:val="14"/>
  </w:num>
  <w:num w:numId="7">
    <w:abstractNumId w:val="10"/>
  </w:num>
  <w:num w:numId="8">
    <w:abstractNumId w:val="5"/>
  </w:num>
  <w:num w:numId="9">
    <w:abstractNumId w:val="7"/>
  </w:num>
  <w:num w:numId="10">
    <w:abstractNumId w:val="0"/>
  </w:num>
  <w:num w:numId="11">
    <w:abstractNumId w:val="12"/>
  </w:num>
  <w:num w:numId="12">
    <w:abstractNumId w:val="13"/>
  </w:num>
  <w:num w:numId="13">
    <w:abstractNumId w:val="3"/>
  </w:num>
  <w:num w:numId="14">
    <w:abstractNumId w:val="4"/>
  </w:num>
  <w:num w:numId="15">
    <w:abstractNumId w:val="1"/>
  </w:num>
  <w:num w:numId="16">
    <w:abstractNumId w:val="6"/>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A8B"/>
    <w:rsid w:val="00045EF6"/>
    <w:rsid w:val="00125A71"/>
    <w:rsid w:val="00865A8B"/>
    <w:rsid w:val="00B96580"/>
    <w:rsid w:val="00BE3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A5A96"/>
  <w15:chartTrackingRefBased/>
  <w15:docId w15:val="{E89A3253-B123-43B1-B8B2-210430345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580"/>
    <w:pPr>
      <w:spacing w:after="200" w:line="276" w:lineRule="auto"/>
    </w:pPr>
    <w:rPr>
      <w:rFonts w:eastAsiaTheme="minorEastAsia"/>
      <w:lang w:eastAsia="ru-RU"/>
    </w:rPr>
  </w:style>
  <w:style w:type="paragraph" w:styleId="2">
    <w:name w:val="heading 2"/>
    <w:basedOn w:val="a"/>
    <w:next w:val="a"/>
    <w:link w:val="20"/>
    <w:unhideWhenUsed/>
    <w:qFormat/>
    <w:rsid w:val="00B965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96580"/>
    <w:rPr>
      <w:rFonts w:asciiTheme="majorHAnsi" w:eastAsiaTheme="majorEastAsia" w:hAnsiTheme="majorHAnsi" w:cstheme="majorBidi"/>
      <w:b/>
      <w:bCs/>
      <w:color w:val="5B9BD5" w:themeColor="accent1"/>
      <w:sz w:val="26"/>
      <w:szCs w:val="26"/>
      <w:lang w:eastAsia="ru-RU"/>
    </w:rPr>
  </w:style>
  <w:style w:type="paragraph" w:styleId="a3">
    <w:name w:val="Normal (Web)"/>
    <w:basedOn w:val="a"/>
    <w:unhideWhenUsed/>
    <w:rsid w:val="00B9658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96580"/>
    <w:pPr>
      <w:ind w:left="720"/>
      <w:contextualSpacing/>
    </w:pPr>
  </w:style>
  <w:style w:type="character" w:customStyle="1" w:styleId="font12">
    <w:name w:val="font12"/>
    <w:basedOn w:val="a0"/>
    <w:rsid w:val="00B96580"/>
  </w:style>
  <w:style w:type="character" w:customStyle="1" w:styleId="apple-converted-space">
    <w:name w:val="apple-converted-space"/>
    <w:basedOn w:val="a0"/>
    <w:rsid w:val="00B96580"/>
  </w:style>
  <w:style w:type="character" w:customStyle="1" w:styleId="font6">
    <w:name w:val="font6"/>
    <w:basedOn w:val="a0"/>
    <w:rsid w:val="00B96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6748</Words>
  <Characters>38466</Characters>
  <Application>Microsoft Office Word</Application>
  <DocSecurity>0</DocSecurity>
  <Lines>320</Lines>
  <Paragraphs>90</Paragraphs>
  <ScaleCrop>false</ScaleCrop>
  <Company/>
  <LinksUpToDate>false</LinksUpToDate>
  <CharactersWithSpaces>45124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Яночкин</dc:creator>
  <cp:keywords/>
  <dc:description/>
  <cp:lastModifiedBy>Администратор</cp:lastModifiedBy>
  <cp:revision>6</cp:revision>
  <dcterms:created xsi:type="dcterms:W3CDTF">2025-06-06T18:20:00Z</dcterms:created>
  <dcterms:modified xsi:type="dcterms:W3CDTF">2025-06-24T10:07:00Z</dcterms:modified>
</cp:coreProperties>
</file>